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4DEC" w14:textId="77777777" w:rsidR="008B175C" w:rsidRDefault="008B175C" w:rsidP="008B175C">
      <w:pPr>
        <w:pStyle w:val="Titre"/>
      </w:pPr>
      <w:r>
        <w:rPr>
          <w:noProof/>
        </w:rPr>
        <w:drawing>
          <wp:inline distT="0" distB="0" distL="0" distR="0" wp14:anchorId="2754EFBA" wp14:editId="2A4711FB">
            <wp:extent cx="2867025" cy="1663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 CIAMS 9 cm x 9 cm 170.jpg"/>
                    <pic:cNvPicPr/>
                  </pic:nvPicPr>
                  <pic:blipFill rotWithShape="1">
                    <a:blip r:embed="rId6">
                      <a:extLst>
                        <a:ext uri="{28A0092B-C50C-407E-A947-70E740481C1C}">
                          <a14:useLocalDpi xmlns:a14="http://schemas.microsoft.com/office/drawing/2010/main" val="0"/>
                        </a:ext>
                      </a:extLst>
                    </a:blip>
                    <a:srcRect t="16196" b="25795"/>
                    <a:stretch/>
                  </pic:blipFill>
                  <pic:spPr bwMode="auto">
                    <a:xfrm>
                      <a:off x="0" y="0"/>
                      <a:ext cx="2868211" cy="1663833"/>
                    </a:xfrm>
                    <a:prstGeom prst="rect">
                      <a:avLst/>
                    </a:prstGeom>
                    <a:ln>
                      <a:noFill/>
                    </a:ln>
                    <a:extLst>
                      <a:ext uri="{53640926-AAD7-44D8-BBD7-CCE9431645EC}">
                        <a14:shadowObscured xmlns:a14="http://schemas.microsoft.com/office/drawing/2010/main"/>
                      </a:ext>
                    </a:extLst>
                  </pic:spPr>
                </pic:pic>
              </a:graphicData>
            </a:graphic>
          </wp:inline>
        </w:drawing>
      </w:r>
    </w:p>
    <w:p w14:paraId="4C2671AD" w14:textId="0FB2F3A1" w:rsidR="0014464E" w:rsidRDefault="0014464E" w:rsidP="008B175C">
      <w:pPr>
        <w:pStyle w:val="Titre"/>
      </w:pPr>
      <w:r>
        <w:t>Rapport d’activité 2019</w:t>
      </w:r>
    </w:p>
    <w:p w14:paraId="2FCEA4BF" w14:textId="67DAA40F" w:rsidR="008B175C" w:rsidRDefault="008B175C" w:rsidP="000E6E17">
      <w:pPr>
        <w:pStyle w:val="Titre"/>
      </w:pPr>
      <w:r>
        <w:t>La CIAMS compte maintenant 34 membres de 10 pays</w:t>
      </w:r>
    </w:p>
    <w:p w14:paraId="5F392F0B" w14:textId="77777777" w:rsidR="008B175C" w:rsidRPr="008B175C" w:rsidRDefault="008B175C" w:rsidP="008B175C"/>
    <w:sdt>
      <w:sdtPr>
        <w:rPr>
          <w:rFonts w:asciiTheme="minorHAnsi" w:eastAsiaTheme="minorHAnsi" w:hAnsiTheme="minorHAnsi" w:cstheme="minorBidi"/>
          <w:color w:val="auto"/>
          <w:sz w:val="22"/>
          <w:szCs w:val="22"/>
          <w:lang w:eastAsia="en-US"/>
        </w:rPr>
        <w:id w:val="1758481178"/>
        <w:docPartObj>
          <w:docPartGallery w:val="Table of Contents"/>
          <w:docPartUnique/>
        </w:docPartObj>
      </w:sdtPr>
      <w:sdtEndPr>
        <w:rPr>
          <w:b/>
          <w:bCs/>
        </w:rPr>
      </w:sdtEndPr>
      <w:sdtContent>
        <w:p w14:paraId="4F2CF923" w14:textId="4E29CB48" w:rsidR="00226CC2" w:rsidRDefault="00226CC2">
          <w:pPr>
            <w:pStyle w:val="En-ttedetabledesmatires"/>
          </w:pPr>
          <w:r>
            <w:t>Table des matières</w:t>
          </w:r>
        </w:p>
        <w:p w14:paraId="53038EE1" w14:textId="407DC614" w:rsidR="004A34B1" w:rsidRDefault="00226CC2">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41571073" w:history="1">
            <w:r w:rsidR="004A34B1" w:rsidRPr="00E40A53">
              <w:rPr>
                <w:rStyle w:val="Lienhypertexte"/>
                <w:noProof/>
              </w:rPr>
              <w:t>Synthèse</w:t>
            </w:r>
            <w:r w:rsidR="004A34B1">
              <w:rPr>
                <w:noProof/>
                <w:webHidden/>
              </w:rPr>
              <w:tab/>
            </w:r>
            <w:r w:rsidR="004A34B1">
              <w:rPr>
                <w:noProof/>
                <w:webHidden/>
              </w:rPr>
              <w:fldChar w:fldCharType="begin"/>
            </w:r>
            <w:r w:rsidR="004A34B1">
              <w:rPr>
                <w:noProof/>
                <w:webHidden/>
              </w:rPr>
              <w:instrText xml:space="preserve"> PAGEREF _Toc41571073 \h </w:instrText>
            </w:r>
            <w:r w:rsidR="004A34B1">
              <w:rPr>
                <w:noProof/>
                <w:webHidden/>
              </w:rPr>
            </w:r>
            <w:r w:rsidR="004A34B1">
              <w:rPr>
                <w:noProof/>
                <w:webHidden/>
              </w:rPr>
              <w:fldChar w:fldCharType="separate"/>
            </w:r>
            <w:r w:rsidR="004A34B1">
              <w:rPr>
                <w:noProof/>
                <w:webHidden/>
              </w:rPr>
              <w:t>2</w:t>
            </w:r>
            <w:r w:rsidR="004A34B1">
              <w:rPr>
                <w:noProof/>
                <w:webHidden/>
              </w:rPr>
              <w:fldChar w:fldCharType="end"/>
            </w:r>
          </w:hyperlink>
        </w:p>
        <w:p w14:paraId="4A8D3EE1" w14:textId="38BD9718" w:rsidR="004A34B1" w:rsidRDefault="00622F5B">
          <w:pPr>
            <w:pStyle w:val="TM1"/>
            <w:tabs>
              <w:tab w:val="right" w:leader="dot" w:pos="10456"/>
            </w:tabs>
            <w:rPr>
              <w:rFonts w:eastAsiaTheme="minorEastAsia"/>
              <w:noProof/>
              <w:lang w:eastAsia="fr-FR"/>
            </w:rPr>
          </w:pPr>
          <w:hyperlink w:anchor="_Toc41571074" w:history="1">
            <w:r w:rsidR="004A34B1" w:rsidRPr="00E40A53">
              <w:rPr>
                <w:rStyle w:val="Lienhypertexte"/>
                <w:noProof/>
              </w:rPr>
              <w:t>Actions en direction du public</w:t>
            </w:r>
            <w:r w:rsidR="004A34B1">
              <w:rPr>
                <w:noProof/>
                <w:webHidden/>
              </w:rPr>
              <w:tab/>
            </w:r>
            <w:r w:rsidR="004A34B1">
              <w:rPr>
                <w:noProof/>
                <w:webHidden/>
              </w:rPr>
              <w:fldChar w:fldCharType="begin"/>
            </w:r>
            <w:r w:rsidR="004A34B1">
              <w:rPr>
                <w:noProof/>
                <w:webHidden/>
              </w:rPr>
              <w:instrText xml:space="preserve"> PAGEREF _Toc41571074 \h </w:instrText>
            </w:r>
            <w:r w:rsidR="004A34B1">
              <w:rPr>
                <w:noProof/>
                <w:webHidden/>
              </w:rPr>
            </w:r>
            <w:r w:rsidR="004A34B1">
              <w:rPr>
                <w:noProof/>
                <w:webHidden/>
              </w:rPr>
              <w:fldChar w:fldCharType="separate"/>
            </w:r>
            <w:r w:rsidR="004A34B1">
              <w:rPr>
                <w:noProof/>
                <w:webHidden/>
              </w:rPr>
              <w:t>2</w:t>
            </w:r>
            <w:r w:rsidR="004A34B1">
              <w:rPr>
                <w:noProof/>
                <w:webHidden/>
              </w:rPr>
              <w:fldChar w:fldCharType="end"/>
            </w:r>
          </w:hyperlink>
        </w:p>
        <w:p w14:paraId="27B22238" w14:textId="4BCFE727" w:rsidR="004A34B1" w:rsidRDefault="00622F5B">
          <w:pPr>
            <w:pStyle w:val="TM2"/>
            <w:tabs>
              <w:tab w:val="right" w:leader="dot" w:pos="10456"/>
            </w:tabs>
            <w:rPr>
              <w:rFonts w:eastAsiaTheme="minorEastAsia"/>
              <w:noProof/>
              <w:lang w:eastAsia="fr-FR"/>
            </w:rPr>
          </w:pPr>
          <w:hyperlink w:anchor="_Toc41571075" w:history="1">
            <w:r w:rsidR="004A34B1" w:rsidRPr="00E40A53">
              <w:rPr>
                <w:rStyle w:val="Lienhypertexte"/>
                <w:noProof/>
              </w:rPr>
              <w:t>En France</w:t>
            </w:r>
            <w:r w:rsidR="004A34B1">
              <w:rPr>
                <w:noProof/>
                <w:webHidden/>
              </w:rPr>
              <w:tab/>
            </w:r>
            <w:r w:rsidR="004A34B1">
              <w:rPr>
                <w:noProof/>
                <w:webHidden/>
              </w:rPr>
              <w:fldChar w:fldCharType="begin"/>
            </w:r>
            <w:r w:rsidR="004A34B1">
              <w:rPr>
                <w:noProof/>
                <w:webHidden/>
              </w:rPr>
              <w:instrText xml:space="preserve"> PAGEREF _Toc41571075 \h </w:instrText>
            </w:r>
            <w:r w:rsidR="004A34B1">
              <w:rPr>
                <w:noProof/>
                <w:webHidden/>
              </w:rPr>
            </w:r>
            <w:r w:rsidR="004A34B1">
              <w:rPr>
                <w:noProof/>
                <w:webHidden/>
              </w:rPr>
              <w:fldChar w:fldCharType="separate"/>
            </w:r>
            <w:r w:rsidR="004A34B1">
              <w:rPr>
                <w:noProof/>
                <w:webHidden/>
              </w:rPr>
              <w:t>2</w:t>
            </w:r>
            <w:r w:rsidR="004A34B1">
              <w:rPr>
                <w:noProof/>
                <w:webHidden/>
              </w:rPr>
              <w:fldChar w:fldCharType="end"/>
            </w:r>
          </w:hyperlink>
        </w:p>
        <w:p w14:paraId="77D78812" w14:textId="153430D1" w:rsidR="004A34B1" w:rsidRDefault="00622F5B">
          <w:pPr>
            <w:pStyle w:val="TM2"/>
            <w:tabs>
              <w:tab w:val="right" w:leader="dot" w:pos="10456"/>
            </w:tabs>
            <w:rPr>
              <w:rFonts w:eastAsiaTheme="minorEastAsia"/>
              <w:noProof/>
              <w:lang w:eastAsia="fr-FR"/>
            </w:rPr>
          </w:pPr>
          <w:hyperlink w:anchor="_Toc41571076" w:history="1">
            <w:r w:rsidR="004A34B1" w:rsidRPr="00E40A53">
              <w:rPr>
                <w:rStyle w:val="Lienhypertexte"/>
                <w:noProof/>
              </w:rPr>
              <w:t>En Italie</w:t>
            </w:r>
            <w:r w:rsidR="004A34B1">
              <w:rPr>
                <w:noProof/>
                <w:webHidden/>
              </w:rPr>
              <w:tab/>
            </w:r>
            <w:r w:rsidR="004A34B1">
              <w:rPr>
                <w:noProof/>
                <w:webHidden/>
              </w:rPr>
              <w:fldChar w:fldCharType="begin"/>
            </w:r>
            <w:r w:rsidR="004A34B1">
              <w:rPr>
                <w:noProof/>
                <w:webHidden/>
              </w:rPr>
              <w:instrText xml:space="preserve"> PAGEREF _Toc41571076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228C108E" w14:textId="69ABACB9" w:rsidR="004A34B1" w:rsidRDefault="00622F5B">
          <w:pPr>
            <w:pStyle w:val="TM2"/>
            <w:tabs>
              <w:tab w:val="right" w:leader="dot" w:pos="10456"/>
            </w:tabs>
            <w:rPr>
              <w:rFonts w:eastAsiaTheme="minorEastAsia"/>
              <w:noProof/>
              <w:lang w:eastAsia="fr-FR"/>
            </w:rPr>
          </w:pPr>
          <w:hyperlink w:anchor="_Toc41571077" w:history="1">
            <w:r w:rsidR="004A34B1" w:rsidRPr="00E40A53">
              <w:rPr>
                <w:rStyle w:val="Lienhypertexte"/>
                <w:noProof/>
              </w:rPr>
              <w:t>Serbie</w:t>
            </w:r>
            <w:r w:rsidR="004A34B1">
              <w:rPr>
                <w:noProof/>
                <w:webHidden/>
              </w:rPr>
              <w:tab/>
            </w:r>
            <w:r w:rsidR="004A34B1">
              <w:rPr>
                <w:noProof/>
                <w:webHidden/>
              </w:rPr>
              <w:fldChar w:fldCharType="begin"/>
            </w:r>
            <w:r w:rsidR="004A34B1">
              <w:rPr>
                <w:noProof/>
                <w:webHidden/>
              </w:rPr>
              <w:instrText xml:space="preserve"> PAGEREF _Toc41571077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7263CE5B" w14:textId="7EAFEA45" w:rsidR="004A34B1" w:rsidRDefault="00622F5B">
          <w:pPr>
            <w:pStyle w:val="TM1"/>
            <w:tabs>
              <w:tab w:val="right" w:leader="dot" w:pos="10456"/>
            </w:tabs>
            <w:rPr>
              <w:rFonts w:eastAsiaTheme="minorEastAsia"/>
              <w:noProof/>
              <w:lang w:eastAsia="fr-FR"/>
            </w:rPr>
          </w:pPr>
          <w:hyperlink w:anchor="_Toc41571078" w:history="1">
            <w:r w:rsidR="004A34B1" w:rsidRPr="00E40A53">
              <w:rPr>
                <w:rStyle w:val="Lienhypertexte"/>
                <w:noProof/>
              </w:rPr>
              <w:t>Campagnes</w:t>
            </w:r>
            <w:r w:rsidR="004A34B1">
              <w:rPr>
                <w:noProof/>
                <w:webHidden/>
              </w:rPr>
              <w:tab/>
            </w:r>
            <w:r w:rsidR="004A34B1">
              <w:rPr>
                <w:noProof/>
                <w:webHidden/>
              </w:rPr>
              <w:fldChar w:fldCharType="begin"/>
            </w:r>
            <w:r w:rsidR="004A34B1">
              <w:rPr>
                <w:noProof/>
                <w:webHidden/>
              </w:rPr>
              <w:instrText xml:space="preserve"> PAGEREF _Toc41571078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79F070CA" w14:textId="14AD3F52" w:rsidR="004A34B1" w:rsidRDefault="00622F5B">
          <w:pPr>
            <w:pStyle w:val="TM2"/>
            <w:tabs>
              <w:tab w:val="right" w:leader="dot" w:pos="10456"/>
            </w:tabs>
            <w:rPr>
              <w:rFonts w:eastAsiaTheme="minorEastAsia"/>
              <w:noProof/>
              <w:lang w:eastAsia="fr-FR"/>
            </w:rPr>
          </w:pPr>
          <w:hyperlink w:anchor="_Toc41571079" w:history="1">
            <w:r w:rsidR="004A34B1" w:rsidRPr="00E40A53">
              <w:rPr>
                <w:rStyle w:val="Lienhypertexte"/>
                <w:noProof/>
              </w:rPr>
              <w:t>Plus belle la vie … oui, mais sans GPA (Campagne)</w:t>
            </w:r>
            <w:r w:rsidR="004A34B1">
              <w:rPr>
                <w:noProof/>
                <w:webHidden/>
              </w:rPr>
              <w:tab/>
            </w:r>
            <w:r w:rsidR="004A34B1">
              <w:rPr>
                <w:noProof/>
                <w:webHidden/>
              </w:rPr>
              <w:fldChar w:fldCharType="begin"/>
            </w:r>
            <w:r w:rsidR="004A34B1">
              <w:rPr>
                <w:noProof/>
                <w:webHidden/>
              </w:rPr>
              <w:instrText xml:space="preserve"> PAGEREF _Toc41571079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1823FFC7" w14:textId="4B8C2FA6" w:rsidR="004A34B1" w:rsidRDefault="00622F5B">
          <w:pPr>
            <w:pStyle w:val="TM2"/>
            <w:tabs>
              <w:tab w:val="right" w:leader="dot" w:pos="10456"/>
            </w:tabs>
            <w:rPr>
              <w:rFonts w:eastAsiaTheme="minorEastAsia"/>
              <w:noProof/>
              <w:lang w:eastAsia="fr-FR"/>
            </w:rPr>
          </w:pPr>
          <w:hyperlink w:anchor="_Toc41571080" w:history="1">
            <w:r w:rsidR="004A34B1" w:rsidRPr="00E40A53">
              <w:rPr>
                <w:rStyle w:val="Lienhypertexte"/>
                <w:noProof/>
              </w:rPr>
              <w:t>Pour une journée des fiertés LGBT sans exploitation (Campagne)</w:t>
            </w:r>
            <w:r w:rsidR="004A34B1">
              <w:rPr>
                <w:noProof/>
                <w:webHidden/>
              </w:rPr>
              <w:tab/>
            </w:r>
            <w:r w:rsidR="004A34B1">
              <w:rPr>
                <w:noProof/>
                <w:webHidden/>
              </w:rPr>
              <w:fldChar w:fldCharType="begin"/>
            </w:r>
            <w:r w:rsidR="004A34B1">
              <w:rPr>
                <w:noProof/>
                <w:webHidden/>
              </w:rPr>
              <w:instrText xml:space="preserve"> PAGEREF _Toc41571080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38183BA7" w14:textId="6B8DD9CD" w:rsidR="004A34B1" w:rsidRDefault="00622F5B">
          <w:pPr>
            <w:pStyle w:val="TM2"/>
            <w:tabs>
              <w:tab w:val="right" w:leader="dot" w:pos="10456"/>
            </w:tabs>
            <w:rPr>
              <w:rFonts w:eastAsiaTheme="minorEastAsia"/>
              <w:noProof/>
              <w:lang w:eastAsia="fr-FR"/>
            </w:rPr>
          </w:pPr>
          <w:hyperlink w:anchor="_Toc41571081" w:history="1">
            <w:r w:rsidR="004A34B1" w:rsidRPr="00E40A53">
              <w:rPr>
                <w:rStyle w:val="Lienhypertexte"/>
                <w:noProof/>
              </w:rPr>
              <w:t>Cambodge : protestation contre les recommandations du comité CEDEF</w:t>
            </w:r>
            <w:r w:rsidR="004A34B1">
              <w:rPr>
                <w:noProof/>
                <w:webHidden/>
              </w:rPr>
              <w:tab/>
            </w:r>
            <w:r w:rsidR="004A34B1">
              <w:rPr>
                <w:noProof/>
                <w:webHidden/>
              </w:rPr>
              <w:fldChar w:fldCharType="begin"/>
            </w:r>
            <w:r w:rsidR="004A34B1">
              <w:rPr>
                <w:noProof/>
                <w:webHidden/>
              </w:rPr>
              <w:instrText xml:space="preserve"> PAGEREF _Toc41571081 \h </w:instrText>
            </w:r>
            <w:r w:rsidR="004A34B1">
              <w:rPr>
                <w:noProof/>
                <w:webHidden/>
              </w:rPr>
            </w:r>
            <w:r w:rsidR="004A34B1">
              <w:rPr>
                <w:noProof/>
                <w:webHidden/>
              </w:rPr>
              <w:fldChar w:fldCharType="separate"/>
            </w:r>
            <w:r w:rsidR="004A34B1">
              <w:rPr>
                <w:noProof/>
                <w:webHidden/>
              </w:rPr>
              <w:t>3</w:t>
            </w:r>
            <w:r w:rsidR="004A34B1">
              <w:rPr>
                <w:noProof/>
                <w:webHidden/>
              </w:rPr>
              <w:fldChar w:fldCharType="end"/>
            </w:r>
          </w:hyperlink>
        </w:p>
        <w:p w14:paraId="14B53EA7" w14:textId="3065CA3B" w:rsidR="004A34B1" w:rsidRDefault="00622F5B">
          <w:pPr>
            <w:pStyle w:val="TM1"/>
            <w:tabs>
              <w:tab w:val="right" w:leader="dot" w:pos="10456"/>
            </w:tabs>
            <w:rPr>
              <w:rFonts w:eastAsiaTheme="minorEastAsia"/>
              <w:noProof/>
              <w:lang w:eastAsia="fr-FR"/>
            </w:rPr>
          </w:pPr>
          <w:hyperlink w:anchor="_Toc41571082" w:history="1">
            <w:r w:rsidR="004A34B1" w:rsidRPr="00E40A53">
              <w:rPr>
                <w:rStyle w:val="Lienhypertexte"/>
                <w:noProof/>
              </w:rPr>
              <w:t>Actions institutionnelles</w:t>
            </w:r>
            <w:r w:rsidR="004A34B1">
              <w:rPr>
                <w:noProof/>
                <w:webHidden/>
              </w:rPr>
              <w:tab/>
            </w:r>
            <w:r w:rsidR="004A34B1">
              <w:rPr>
                <w:noProof/>
                <w:webHidden/>
              </w:rPr>
              <w:fldChar w:fldCharType="begin"/>
            </w:r>
            <w:r w:rsidR="004A34B1">
              <w:rPr>
                <w:noProof/>
                <w:webHidden/>
              </w:rPr>
              <w:instrText xml:space="preserve"> PAGEREF _Toc41571082 \h </w:instrText>
            </w:r>
            <w:r w:rsidR="004A34B1">
              <w:rPr>
                <w:noProof/>
                <w:webHidden/>
              </w:rPr>
            </w:r>
            <w:r w:rsidR="004A34B1">
              <w:rPr>
                <w:noProof/>
                <w:webHidden/>
              </w:rPr>
              <w:fldChar w:fldCharType="separate"/>
            </w:r>
            <w:r w:rsidR="004A34B1">
              <w:rPr>
                <w:noProof/>
                <w:webHidden/>
              </w:rPr>
              <w:t>4</w:t>
            </w:r>
            <w:r w:rsidR="004A34B1">
              <w:rPr>
                <w:noProof/>
                <w:webHidden/>
              </w:rPr>
              <w:fldChar w:fldCharType="end"/>
            </w:r>
          </w:hyperlink>
        </w:p>
        <w:p w14:paraId="08313D00" w14:textId="6FF99E89" w:rsidR="004A34B1" w:rsidRDefault="00622F5B">
          <w:pPr>
            <w:pStyle w:val="TM2"/>
            <w:tabs>
              <w:tab w:val="right" w:leader="dot" w:pos="10456"/>
            </w:tabs>
            <w:rPr>
              <w:rFonts w:eastAsiaTheme="minorEastAsia"/>
              <w:noProof/>
              <w:lang w:eastAsia="fr-FR"/>
            </w:rPr>
          </w:pPr>
          <w:hyperlink w:anchor="_Toc41571083" w:history="1">
            <w:r w:rsidR="004A34B1" w:rsidRPr="00E40A53">
              <w:rPr>
                <w:rStyle w:val="Lienhypertexte"/>
                <w:noProof/>
              </w:rPr>
              <w:t>CEDH- Cour Européenne pour les droits humains</w:t>
            </w:r>
            <w:r w:rsidR="004A34B1">
              <w:rPr>
                <w:noProof/>
                <w:webHidden/>
              </w:rPr>
              <w:tab/>
            </w:r>
            <w:r w:rsidR="004A34B1">
              <w:rPr>
                <w:noProof/>
                <w:webHidden/>
              </w:rPr>
              <w:fldChar w:fldCharType="begin"/>
            </w:r>
            <w:r w:rsidR="004A34B1">
              <w:rPr>
                <w:noProof/>
                <w:webHidden/>
              </w:rPr>
              <w:instrText xml:space="preserve"> PAGEREF _Toc41571083 \h </w:instrText>
            </w:r>
            <w:r w:rsidR="004A34B1">
              <w:rPr>
                <w:noProof/>
                <w:webHidden/>
              </w:rPr>
            </w:r>
            <w:r w:rsidR="004A34B1">
              <w:rPr>
                <w:noProof/>
                <w:webHidden/>
              </w:rPr>
              <w:fldChar w:fldCharType="separate"/>
            </w:r>
            <w:r w:rsidR="004A34B1">
              <w:rPr>
                <w:noProof/>
                <w:webHidden/>
              </w:rPr>
              <w:t>4</w:t>
            </w:r>
            <w:r w:rsidR="004A34B1">
              <w:rPr>
                <w:noProof/>
                <w:webHidden/>
              </w:rPr>
              <w:fldChar w:fldCharType="end"/>
            </w:r>
          </w:hyperlink>
        </w:p>
        <w:p w14:paraId="63FDE28B" w14:textId="408D619D" w:rsidR="004A34B1" w:rsidRDefault="00622F5B">
          <w:pPr>
            <w:pStyle w:val="TM2"/>
            <w:tabs>
              <w:tab w:val="right" w:leader="dot" w:pos="10456"/>
            </w:tabs>
            <w:rPr>
              <w:rFonts w:eastAsiaTheme="minorEastAsia"/>
              <w:noProof/>
              <w:lang w:eastAsia="fr-FR"/>
            </w:rPr>
          </w:pPr>
          <w:hyperlink w:anchor="_Toc41571084" w:history="1">
            <w:r w:rsidR="004A34B1" w:rsidRPr="00E40A53">
              <w:rPr>
                <w:rStyle w:val="Lienhypertexte"/>
                <w:noProof/>
              </w:rPr>
              <w:t>Cour de Cassation France et CEDH Action d’Arcilesbica</w:t>
            </w:r>
            <w:r w:rsidR="004A34B1">
              <w:rPr>
                <w:noProof/>
                <w:webHidden/>
              </w:rPr>
              <w:tab/>
            </w:r>
            <w:r w:rsidR="004A34B1">
              <w:rPr>
                <w:noProof/>
                <w:webHidden/>
              </w:rPr>
              <w:fldChar w:fldCharType="begin"/>
            </w:r>
            <w:r w:rsidR="004A34B1">
              <w:rPr>
                <w:noProof/>
                <w:webHidden/>
              </w:rPr>
              <w:instrText xml:space="preserve"> PAGEREF _Toc41571084 \h </w:instrText>
            </w:r>
            <w:r w:rsidR="004A34B1">
              <w:rPr>
                <w:noProof/>
                <w:webHidden/>
              </w:rPr>
            </w:r>
            <w:r w:rsidR="004A34B1">
              <w:rPr>
                <w:noProof/>
                <w:webHidden/>
              </w:rPr>
              <w:fldChar w:fldCharType="separate"/>
            </w:r>
            <w:r w:rsidR="004A34B1">
              <w:rPr>
                <w:noProof/>
                <w:webHidden/>
              </w:rPr>
              <w:t>4</w:t>
            </w:r>
            <w:r w:rsidR="004A34B1">
              <w:rPr>
                <w:noProof/>
                <w:webHidden/>
              </w:rPr>
              <w:fldChar w:fldCharType="end"/>
            </w:r>
          </w:hyperlink>
        </w:p>
        <w:p w14:paraId="1DE8DB85" w14:textId="13B21542" w:rsidR="004A34B1" w:rsidRDefault="00622F5B">
          <w:pPr>
            <w:pStyle w:val="TM2"/>
            <w:tabs>
              <w:tab w:val="right" w:leader="dot" w:pos="10456"/>
            </w:tabs>
            <w:rPr>
              <w:rFonts w:eastAsiaTheme="minorEastAsia"/>
              <w:noProof/>
              <w:lang w:eastAsia="fr-FR"/>
            </w:rPr>
          </w:pPr>
          <w:hyperlink w:anchor="_Toc41571085" w:history="1">
            <w:r w:rsidR="004A34B1" w:rsidRPr="00E40A53">
              <w:rPr>
                <w:rStyle w:val="Lienhypertexte"/>
                <w:noProof/>
              </w:rPr>
              <w:t>New York CSW63 2019</w:t>
            </w:r>
            <w:r w:rsidR="004A34B1">
              <w:rPr>
                <w:noProof/>
                <w:webHidden/>
              </w:rPr>
              <w:tab/>
            </w:r>
            <w:r w:rsidR="004A34B1">
              <w:rPr>
                <w:noProof/>
                <w:webHidden/>
              </w:rPr>
              <w:fldChar w:fldCharType="begin"/>
            </w:r>
            <w:r w:rsidR="004A34B1">
              <w:rPr>
                <w:noProof/>
                <w:webHidden/>
              </w:rPr>
              <w:instrText xml:space="preserve"> PAGEREF _Toc41571085 \h </w:instrText>
            </w:r>
            <w:r w:rsidR="004A34B1">
              <w:rPr>
                <w:noProof/>
                <w:webHidden/>
              </w:rPr>
            </w:r>
            <w:r w:rsidR="004A34B1">
              <w:rPr>
                <w:noProof/>
                <w:webHidden/>
              </w:rPr>
              <w:fldChar w:fldCharType="separate"/>
            </w:r>
            <w:r w:rsidR="004A34B1">
              <w:rPr>
                <w:noProof/>
                <w:webHidden/>
              </w:rPr>
              <w:t>4</w:t>
            </w:r>
            <w:r w:rsidR="004A34B1">
              <w:rPr>
                <w:noProof/>
                <w:webHidden/>
              </w:rPr>
              <w:fldChar w:fldCharType="end"/>
            </w:r>
          </w:hyperlink>
        </w:p>
        <w:p w14:paraId="093A3BCF" w14:textId="784002C8" w:rsidR="004A34B1" w:rsidRDefault="00622F5B">
          <w:pPr>
            <w:pStyle w:val="TM2"/>
            <w:tabs>
              <w:tab w:val="right" w:leader="dot" w:pos="10456"/>
            </w:tabs>
            <w:rPr>
              <w:rFonts w:eastAsiaTheme="minorEastAsia"/>
              <w:noProof/>
              <w:lang w:eastAsia="fr-FR"/>
            </w:rPr>
          </w:pPr>
          <w:hyperlink w:anchor="_Toc41571086" w:history="1">
            <w:r w:rsidR="004A34B1" w:rsidRPr="00E40A53">
              <w:rPr>
                <w:rStyle w:val="Lienhypertexte"/>
                <w:noProof/>
              </w:rPr>
              <w:t>Lettre à ONU FEMMES</w:t>
            </w:r>
            <w:r w:rsidR="004A34B1">
              <w:rPr>
                <w:noProof/>
                <w:webHidden/>
              </w:rPr>
              <w:tab/>
            </w:r>
            <w:r w:rsidR="004A34B1">
              <w:rPr>
                <w:noProof/>
                <w:webHidden/>
              </w:rPr>
              <w:fldChar w:fldCharType="begin"/>
            </w:r>
            <w:r w:rsidR="004A34B1">
              <w:rPr>
                <w:noProof/>
                <w:webHidden/>
              </w:rPr>
              <w:instrText xml:space="preserve"> PAGEREF _Toc41571086 \h </w:instrText>
            </w:r>
            <w:r w:rsidR="004A34B1">
              <w:rPr>
                <w:noProof/>
                <w:webHidden/>
              </w:rPr>
            </w:r>
            <w:r w:rsidR="004A34B1">
              <w:rPr>
                <w:noProof/>
                <w:webHidden/>
              </w:rPr>
              <w:fldChar w:fldCharType="separate"/>
            </w:r>
            <w:r w:rsidR="004A34B1">
              <w:rPr>
                <w:noProof/>
                <w:webHidden/>
              </w:rPr>
              <w:t>5</w:t>
            </w:r>
            <w:r w:rsidR="004A34B1">
              <w:rPr>
                <w:noProof/>
                <w:webHidden/>
              </w:rPr>
              <w:fldChar w:fldCharType="end"/>
            </w:r>
          </w:hyperlink>
        </w:p>
        <w:p w14:paraId="1A153A69" w14:textId="6C67ABD2" w:rsidR="004A34B1" w:rsidRDefault="00622F5B">
          <w:pPr>
            <w:pStyle w:val="TM2"/>
            <w:tabs>
              <w:tab w:val="right" w:leader="dot" w:pos="10456"/>
            </w:tabs>
            <w:rPr>
              <w:rFonts w:eastAsiaTheme="minorEastAsia"/>
              <w:noProof/>
              <w:lang w:eastAsia="fr-FR"/>
            </w:rPr>
          </w:pPr>
          <w:hyperlink w:anchor="_Toc41571087" w:history="1">
            <w:r w:rsidR="004A34B1" w:rsidRPr="00E40A53">
              <w:rPr>
                <w:rStyle w:val="Lienhypertexte"/>
                <w:noProof/>
              </w:rPr>
              <w:t>ONU Rapporteure spéciale sur la vente et l'exploitation sexuelle des enfants</w:t>
            </w:r>
            <w:r w:rsidR="004A34B1">
              <w:rPr>
                <w:noProof/>
                <w:webHidden/>
              </w:rPr>
              <w:tab/>
            </w:r>
            <w:r w:rsidR="004A34B1">
              <w:rPr>
                <w:noProof/>
                <w:webHidden/>
              </w:rPr>
              <w:fldChar w:fldCharType="begin"/>
            </w:r>
            <w:r w:rsidR="004A34B1">
              <w:rPr>
                <w:noProof/>
                <w:webHidden/>
              </w:rPr>
              <w:instrText xml:space="preserve"> PAGEREF _Toc41571087 \h </w:instrText>
            </w:r>
            <w:r w:rsidR="004A34B1">
              <w:rPr>
                <w:noProof/>
                <w:webHidden/>
              </w:rPr>
            </w:r>
            <w:r w:rsidR="004A34B1">
              <w:rPr>
                <w:noProof/>
                <w:webHidden/>
              </w:rPr>
              <w:fldChar w:fldCharType="separate"/>
            </w:r>
            <w:r w:rsidR="004A34B1">
              <w:rPr>
                <w:noProof/>
                <w:webHidden/>
              </w:rPr>
              <w:t>5</w:t>
            </w:r>
            <w:r w:rsidR="004A34B1">
              <w:rPr>
                <w:noProof/>
                <w:webHidden/>
              </w:rPr>
              <w:fldChar w:fldCharType="end"/>
            </w:r>
          </w:hyperlink>
        </w:p>
        <w:p w14:paraId="3B6E8930" w14:textId="1215FE1A" w:rsidR="004A34B1" w:rsidRDefault="00622F5B">
          <w:pPr>
            <w:pStyle w:val="TM2"/>
            <w:tabs>
              <w:tab w:val="right" w:leader="dot" w:pos="10456"/>
            </w:tabs>
            <w:rPr>
              <w:rFonts w:eastAsiaTheme="minorEastAsia"/>
              <w:noProof/>
              <w:lang w:eastAsia="fr-FR"/>
            </w:rPr>
          </w:pPr>
          <w:hyperlink w:anchor="_Toc41571088" w:history="1">
            <w:r w:rsidR="004A34B1" w:rsidRPr="00E40A53">
              <w:rPr>
                <w:rStyle w:val="Lienhypertexte"/>
                <w:noProof/>
              </w:rPr>
              <w:t>GENEVE (réunion régionale du CEDAW du 28 au 30 octobre)</w:t>
            </w:r>
            <w:r w:rsidR="004A34B1">
              <w:rPr>
                <w:noProof/>
                <w:webHidden/>
              </w:rPr>
              <w:tab/>
            </w:r>
            <w:r w:rsidR="004A34B1">
              <w:rPr>
                <w:noProof/>
                <w:webHidden/>
              </w:rPr>
              <w:fldChar w:fldCharType="begin"/>
            </w:r>
            <w:r w:rsidR="004A34B1">
              <w:rPr>
                <w:noProof/>
                <w:webHidden/>
              </w:rPr>
              <w:instrText xml:space="preserve"> PAGEREF _Toc41571088 \h </w:instrText>
            </w:r>
            <w:r w:rsidR="004A34B1">
              <w:rPr>
                <w:noProof/>
                <w:webHidden/>
              </w:rPr>
            </w:r>
            <w:r w:rsidR="004A34B1">
              <w:rPr>
                <w:noProof/>
                <w:webHidden/>
              </w:rPr>
              <w:fldChar w:fldCharType="separate"/>
            </w:r>
            <w:r w:rsidR="004A34B1">
              <w:rPr>
                <w:noProof/>
                <w:webHidden/>
              </w:rPr>
              <w:t>5</w:t>
            </w:r>
            <w:r w:rsidR="004A34B1">
              <w:rPr>
                <w:noProof/>
                <w:webHidden/>
              </w:rPr>
              <w:fldChar w:fldCharType="end"/>
            </w:r>
          </w:hyperlink>
        </w:p>
        <w:p w14:paraId="1A91D560" w14:textId="29521A86" w:rsidR="004A34B1" w:rsidRDefault="00622F5B">
          <w:pPr>
            <w:pStyle w:val="TM1"/>
            <w:tabs>
              <w:tab w:val="right" w:leader="dot" w:pos="10456"/>
            </w:tabs>
            <w:rPr>
              <w:rFonts w:eastAsiaTheme="minorEastAsia"/>
              <w:noProof/>
              <w:lang w:eastAsia="fr-FR"/>
            </w:rPr>
          </w:pPr>
          <w:hyperlink w:anchor="_Toc41571089" w:history="1">
            <w:r w:rsidR="004A34B1" w:rsidRPr="00E40A53">
              <w:rPr>
                <w:rStyle w:val="Lienhypertexte"/>
                <w:noProof/>
              </w:rPr>
              <w:t>Actions auprès des politiques</w:t>
            </w:r>
            <w:r w:rsidR="004A34B1">
              <w:rPr>
                <w:noProof/>
                <w:webHidden/>
              </w:rPr>
              <w:tab/>
            </w:r>
            <w:r w:rsidR="004A34B1">
              <w:rPr>
                <w:noProof/>
                <w:webHidden/>
              </w:rPr>
              <w:fldChar w:fldCharType="begin"/>
            </w:r>
            <w:r w:rsidR="004A34B1">
              <w:rPr>
                <w:noProof/>
                <w:webHidden/>
              </w:rPr>
              <w:instrText xml:space="preserve"> PAGEREF _Toc41571089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67B37CAB" w14:textId="47589A4A" w:rsidR="004A34B1" w:rsidRDefault="00622F5B">
          <w:pPr>
            <w:pStyle w:val="TM2"/>
            <w:tabs>
              <w:tab w:val="right" w:leader="dot" w:pos="10456"/>
            </w:tabs>
            <w:rPr>
              <w:rFonts w:eastAsiaTheme="minorEastAsia"/>
              <w:noProof/>
              <w:lang w:eastAsia="fr-FR"/>
            </w:rPr>
          </w:pPr>
          <w:hyperlink w:anchor="_Toc41571090" w:history="1">
            <w:r w:rsidR="004A34B1" w:rsidRPr="00E40A53">
              <w:rPr>
                <w:rStyle w:val="Lienhypertexte"/>
                <w:noProof/>
              </w:rPr>
              <w:t>Campagne Interpellation des partis politiques sur la GPA à l’occasion des élections européennes sous le titre « Ne pas réglementer la GPA, mais l’abolir ! »</w:t>
            </w:r>
            <w:r w:rsidR="004A34B1">
              <w:rPr>
                <w:noProof/>
                <w:webHidden/>
              </w:rPr>
              <w:tab/>
            </w:r>
            <w:r w:rsidR="004A34B1">
              <w:rPr>
                <w:noProof/>
                <w:webHidden/>
              </w:rPr>
              <w:fldChar w:fldCharType="begin"/>
            </w:r>
            <w:r w:rsidR="004A34B1">
              <w:rPr>
                <w:noProof/>
                <w:webHidden/>
              </w:rPr>
              <w:instrText xml:space="preserve"> PAGEREF _Toc41571090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6BC2A02F" w14:textId="35F39AA7" w:rsidR="004A34B1" w:rsidRDefault="00622F5B">
          <w:pPr>
            <w:pStyle w:val="TM1"/>
            <w:tabs>
              <w:tab w:val="right" w:leader="dot" w:pos="10456"/>
            </w:tabs>
            <w:rPr>
              <w:rFonts w:eastAsiaTheme="minorEastAsia"/>
              <w:noProof/>
              <w:lang w:eastAsia="fr-FR"/>
            </w:rPr>
          </w:pPr>
          <w:hyperlink w:anchor="_Toc41571091" w:history="1">
            <w:r w:rsidR="004A34B1" w:rsidRPr="00E40A53">
              <w:rPr>
                <w:rStyle w:val="Lienhypertexte"/>
                <w:noProof/>
              </w:rPr>
              <w:t>Publication</w:t>
            </w:r>
            <w:r w:rsidR="004A34B1">
              <w:rPr>
                <w:noProof/>
                <w:webHidden/>
              </w:rPr>
              <w:tab/>
            </w:r>
            <w:r w:rsidR="004A34B1">
              <w:rPr>
                <w:noProof/>
                <w:webHidden/>
              </w:rPr>
              <w:fldChar w:fldCharType="begin"/>
            </w:r>
            <w:r w:rsidR="004A34B1">
              <w:rPr>
                <w:noProof/>
                <w:webHidden/>
              </w:rPr>
              <w:instrText xml:space="preserve"> PAGEREF _Toc41571091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248812C7" w14:textId="1990328D" w:rsidR="004A34B1" w:rsidRDefault="00622F5B">
          <w:pPr>
            <w:pStyle w:val="TM2"/>
            <w:tabs>
              <w:tab w:val="right" w:leader="dot" w:pos="10456"/>
            </w:tabs>
            <w:rPr>
              <w:rFonts w:eastAsiaTheme="minorEastAsia"/>
              <w:noProof/>
              <w:lang w:eastAsia="fr-FR"/>
            </w:rPr>
          </w:pPr>
          <w:hyperlink w:anchor="_Toc41571092" w:history="1">
            <w:r w:rsidR="004A34B1" w:rsidRPr="00E40A53">
              <w:rPr>
                <w:rStyle w:val="Lienhypertexte"/>
                <w:noProof/>
              </w:rPr>
              <w:t>Actes du colloque 2018</w:t>
            </w:r>
            <w:r w:rsidR="004A34B1">
              <w:rPr>
                <w:noProof/>
                <w:webHidden/>
              </w:rPr>
              <w:tab/>
            </w:r>
            <w:r w:rsidR="004A34B1">
              <w:rPr>
                <w:noProof/>
                <w:webHidden/>
              </w:rPr>
              <w:fldChar w:fldCharType="begin"/>
            </w:r>
            <w:r w:rsidR="004A34B1">
              <w:rPr>
                <w:noProof/>
                <w:webHidden/>
              </w:rPr>
              <w:instrText xml:space="preserve"> PAGEREF _Toc41571092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13451EC2" w14:textId="31821834" w:rsidR="004A34B1" w:rsidRDefault="00622F5B">
          <w:pPr>
            <w:pStyle w:val="TM2"/>
            <w:tabs>
              <w:tab w:val="right" w:leader="dot" w:pos="10456"/>
            </w:tabs>
            <w:rPr>
              <w:rFonts w:eastAsiaTheme="minorEastAsia"/>
              <w:noProof/>
              <w:lang w:eastAsia="fr-FR"/>
            </w:rPr>
          </w:pPr>
          <w:hyperlink w:anchor="_Toc41571093" w:history="1">
            <w:r w:rsidR="004A34B1" w:rsidRPr="00E40A53">
              <w:rPr>
                <w:rStyle w:val="Lienhypertexte"/>
                <w:noProof/>
              </w:rPr>
              <w:t>Tribunes</w:t>
            </w:r>
            <w:r w:rsidR="004A34B1">
              <w:rPr>
                <w:noProof/>
                <w:webHidden/>
              </w:rPr>
              <w:tab/>
            </w:r>
            <w:r w:rsidR="004A34B1">
              <w:rPr>
                <w:noProof/>
                <w:webHidden/>
              </w:rPr>
              <w:fldChar w:fldCharType="begin"/>
            </w:r>
            <w:r w:rsidR="004A34B1">
              <w:rPr>
                <w:noProof/>
                <w:webHidden/>
              </w:rPr>
              <w:instrText xml:space="preserve"> PAGEREF _Toc41571093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5DB9B05F" w14:textId="2E023B64" w:rsidR="004A34B1" w:rsidRDefault="00622F5B">
          <w:pPr>
            <w:pStyle w:val="TM1"/>
            <w:tabs>
              <w:tab w:val="right" w:leader="dot" w:pos="10456"/>
            </w:tabs>
            <w:rPr>
              <w:rFonts w:eastAsiaTheme="minorEastAsia"/>
              <w:noProof/>
              <w:lang w:eastAsia="fr-FR"/>
            </w:rPr>
          </w:pPr>
          <w:hyperlink w:anchor="_Toc41571094" w:history="1">
            <w:r w:rsidR="004A34B1" w:rsidRPr="00E40A53">
              <w:rPr>
                <w:rStyle w:val="Lienhypertexte"/>
                <w:noProof/>
              </w:rPr>
              <w:t>Fonctionnement</w:t>
            </w:r>
            <w:r w:rsidR="004A34B1">
              <w:rPr>
                <w:noProof/>
                <w:webHidden/>
              </w:rPr>
              <w:tab/>
            </w:r>
            <w:r w:rsidR="004A34B1">
              <w:rPr>
                <w:noProof/>
                <w:webHidden/>
              </w:rPr>
              <w:fldChar w:fldCharType="begin"/>
            </w:r>
            <w:r w:rsidR="004A34B1">
              <w:rPr>
                <w:noProof/>
                <w:webHidden/>
              </w:rPr>
              <w:instrText xml:space="preserve"> PAGEREF _Toc41571094 \h </w:instrText>
            </w:r>
            <w:r w:rsidR="004A34B1">
              <w:rPr>
                <w:noProof/>
                <w:webHidden/>
              </w:rPr>
            </w:r>
            <w:r w:rsidR="004A34B1">
              <w:rPr>
                <w:noProof/>
                <w:webHidden/>
              </w:rPr>
              <w:fldChar w:fldCharType="separate"/>
            </w:r>
            <w:r w:rsidR="004A34B1">
              <w:rPr>
                <w:noProof/>
                <w:webHidden/>
              </w:rPr>
              <w:t>6</w:t>
            </w:r>
            <w:r w:rsidR="004A34B1">
              <w:rPr>
                <w:noProof/>
                <w:webHidden/>
              </w:rPr>
              <w:fldChar w:fldCharType="end"/>
            </w:r>
          </w:hyperlink>
        </w:p>
        <w:p w14:paraId="0B5E8A8F" w14:textId="37B019AF" w:rsidR="00226CC2" w:rsidRDefault="00226CC2">
          <w:r>
            <w:rPr>
              <w:b/>
              <w:bCs/>
            </w:rPr>
            <w:fldChar w:fldCharType="end"/>
          </w:r>
        </w:p>
      </w:sdtContent>
    </w:sdt>
    <w:p w14:paraId="70AF67C6" w14:textId="2C85A789" w:rsidR="008B175C" w:rsidRDefault="008B175C">
      <w:r>
        <w:br w:type="page"/>
      </w:r>
    </w:p>
    <w:p w14:paraId="7959D946" w14:textId="7AE07273" w:rsidR="003C4164" w:rsidRDefault="003C4164" w:rsidP="003C4164">
      <w:pPr>
        <w:pStyle w:val="Titre1"/>
      </w:pPr>
      <w:bookmarkStart w:id="0" w:name="_Toc41571073"/>
      <w:r>
        <w:lastRenderedPageBreak/>
        <w:t>Synthèse</w:t>
      </w:r>
      <w:bookmarkEnd w:id="0"/>
    </w:p>
    <w:p w14:paraId="0101FA6A" w14:textId="4F62017F" w:rsidR="003C4164" w:rsidRDefault="003C4164" w:rsidP="003C4164">
      <w:r w:rsidRPr="00BB3565">
        <w:rPr>
          <w:b/>
          <w:bCs/>
        </w:rPr>
        <w:t>L’année 2019</w:t>
      </w:r>
      <w:r>
        <w:t xml:space="preserve"> aura été marquée par de nombreuses campagnes grand public. Mais la barrière médiatique est loin d’être franchie.</w:t>
      </w:r>
      <w:r w:rsidR="00743CE5">
        <w:t xml:space="preserve"> </w:t>
      </w:r>
      <w:r>
        <w:t>La présence de la CIAMS, au niveau institutionnel</w:t>
      </w:r>
      <w:r w:rsidR="005E664C">
        <w:t xml:space="preserve"> est perceptible, même si la position abolitionniste y est rejetée.</w:t>
      </w:r>
    </w:p>
    <w:p w14:paraId="48B4BC1D" w14:textId="1E19264E" w:rsidR="0000712F" w:rsidRDefault="0000712F" w:rsidP="0000712F">
      <w:r>
        <w:t>Pour ce premier trimestre 2020, La crise liée à la pandémie et le confinement qui en est résulté ont ralenti les actions de la CIAMS au niveau institutionnel comme au niveau grand public. Les conférences et ateliers auxquels la CIAMS devait participer ont toutes été reportée à fin 2020 et début 2021.</w:t>
      </w:r>
      <w:r w:rsidRPr="0000712F">
        <w:t xml:space="preserve"> </w:t>
      </w:r>
    </w:p>
    <w:p w14:paraId="0FFCF0ED" w14:textId="2468D525" w:rsidR="0000712F" w:rsidRDefault="00743CE5" w:rsidP="0000712F">
      <w:r>
        <w:t>Toutefois, l</w:t>
      </w:r>
      <w:r w:rsidR="0000712F">
        <w:t xml:space="preserve">a CIAMS a pu rencontrer officiellement le directeur de la chancellerie en France à propos de la conférence de la Haye et de ses travaux sur la maternité de substitution. </w:t>
      </w:r>
    </w:p>
    <w:p w14:paraId="07672E6C" w14:textId="30F2918D" w:rsidR="0000712F" w:rsidRDefault="00743CE5" w:rsidP="0000712F">
      <w:r>
        <w:t xml:space="preserve">Elle a </w:t>
      </w:r>
      <w:proofErr w:type="gramStart"/>
      <w:r>
        <w:t>aussi ,</w:t>
      </w:r>
      <w:proofErr w:type="gramEnd"/>
      <w:r>
        <w:t xml:space="preserve"> de concert avec les membres espagnoles (Berta O.Garcia qui a, la première alerté l’opinion)</w:t>
      </w:r>
      <w:r w:rsidR="00D02F7A">
        <w:t xml:space="preserve"> et </w:t>
      </w:r>
      <w:r>
        <w:t>italiennes mené une ca</w:t>
      </w:r>
      <w:r w:rsidR="0000712F">
        <w:t xml:space="preserve">mpagne menée </w:t>
      </w:r>
      <w:r>
        <w:t>une campagne suite au</w:t>
      </w:r>
      <w:r w:rsidR="0000712F">
        <w:t xml:space="preserve"> blocage des bébés nés de GPA en Ukraine au moment du confinement</w:t>
      </w:r>
      <w:r>
        <w:t>. Cette campagne</w:t>
      </w:r>
      <w:r w:rsidR="0000712F">
        <w:t xml:space="preserve"> a porté ses fruits en termes d’audience et de réaction de la part des personnalités officielles ukrainiennes.</w:t>
      </w:r>
      <w:r w:rsidR="00BB3565">
        <w:t xml:space="preserve"> Elle été reprise en Autriche et peut-être en Suède.</w:t>
      </w:r>
    </w:p>
    <w:p w14:paraId="1C6C8CB9" w14:textId="41731F37" w:rsidR="0000712F" w:rsidRDefault="00743CE5" w:rsidP="0000712F">
      <w:r>
        <w:t>Et enfin, elle a pu lanc</w:t>
      </w:r>
      <w:r w:rsidR="001F46E9">
        <w:t>er</w:t>
      </w:r>
      <w:r>
        <w:t xml:space="preserve"> </w:t>
      </w:r>
      <w:r w:rsidR="0000712F">
        <w:t xml:space="preserve">les deux grands projets de la CIAMS </w:t>
      </w:r>
      <w:r>
        <w:t>que sont</w:t>
      </w:r>
      <w:r w:rsidR="0000712F">
        <w:t xml:space="preserve"> la publication d’un livre sur la </w:t>
      </w:r>
      <w:r>
        <w:t xml:space="preserve">maternité de substitution </w:t>
      </w:r>
      <w:r w:rsidR="0000712F">
        <w:t xml:space="preserve">et l’écriture d’une convention internationale pour l’abolition du recours à la maternité de substitution. </w:t>
      </w:r>
    </w:p>
    <w:p w14:paraId="78814CBB" w14:textId="7627F265" w:rsidR="001F46E9" w:rsidRPr="0058638A" w:rsidRDefault="001F46E9" w:rsidP="0000712F">
      <w:r>
        <w:t>La CIAMS devra cependant trouver des solutions pour renforcer l’équipe opérationnelle. Un appui en communication a été apporté par Téresa Dominguez de l’organisation Stop Vientres de A</w:t>
      </w:r>
      <w:r w:rsidR="005E0302">
        <w:t>l</w:t>
      </w:r>
      <w:r>
        <w:t xml:space="preserve">quiler en Espagne, mais </w:t>
      </w:r>
      <w:r w:rsidR="00BB3565">
        <w:t>d</w:t>
      </w:r>
      <w:r>
        <w:t>eux personnes supplémentaires à temps plein sont nécessaires pour porter la charge de travail liée à la communication interne et externe, à la publication du livre sur la GPA, à la préparation des nouveaux projets, à l’animation des groupes de travail sur la publication du livre, la rédaction de la convention internationale etc.</w:t>
      </w:r>
    </w:p>
    <w:p w14:paraId="24562CC6" w14:textId="52C56253" w:rsidR="00CB784F" w:rsidRDefault="00CB784F" w:rsidP="003C4164">
      <w:pPr>
        <w:pStyle w:val="Titre1"/>
      </w:pPr>
      <w:bookmarkStart w:id="1" w:name="_Toc41571074"/>
      <w:r w:rsidRPr="003C4164">
        <w:t>Actions en direction du public</w:t>
      </w:r>
      <w:bookmarkEnd w:id="1"/>
    </w:p>
    <w:p w14:paraId="6865F5E8" w14:textId="77777777" w:rsidR="00775BD3" w:rsidRDefault="00775BD3" w:rsidP="008B175C">
      <w:pPr>
        <w:pStyle w:val="Titre2"/>
      </w:pPr>
      <w:bookmarkStart w:id="2" w:name="_Toc41571075"/>
      <w:r>
        <w:t>En France</w:t>
      </w:r>
      <w:bookmarkEnd w:id="2"/>
      <w:r>
        <w:t xml:space="preserve"> </w:t>
      </w:r>
    </w:p>
    <w:p w14:paraId="71B3FB99" w14:textId="774235BD" w:rsidR="00027149" w:rsidRDefault="00027149" w:rsidP="00FC42E2">
      <w:pPr>
        <w:ind w:left="426"/>
      </w:pPr>
      <w:r w:rsidRPr="00027149">
        <w:rPr>
          <w:b/>
          <w:bCs/>
        </w:rPr>
        <w:t xml:space="preserve">Journée pour les droits des femmes (8 </w:t>
      </w:r>
      <w:proofErr w:type="gramStart"/>
      <w:r w:rsidRPr="00027149">
        <w:rPr>
          <w:b/>
          <w:bCs/>
        </w:rPr>
        <w:t>mars</w:t>
      </w:r>
      <w:r>
        <w:t>)  -</w:t>
      </w:r>
      <w:proofErr w:type="gramEnd"/>
      <w:r>
        <w:t xml:space="preserve"> </w:t>
      </w:r>
      <w:r w:rsidR="00775BD3" w:rsidRPr="00A2094C">
        <w:t>La CIAMS était signataire de l’appel du 8 mars</w:t>
      </w:r>
      <w:r w:rsidR="00775BD3">
        <w:t xml:space="preserve"> en France</w:t>
      </w:r>
      <w:r w:rsidR="00775BD3" w:rsidRPr="00A2094C">
        <w:t xml:space="preserve"> (journée de lutte pour les droits des femmes) et présente dans le rassemblement </w:t>
      </w:r>
      <w:r>
        <w:t xml:space="preserve">La CIAMS, </w:t>
      </w:r>
      <w:r w:rsidRPr="00A2094C">
        <w:t xml:space="preserve">représentée par les membres du Corp et de CQFD, Lesbiennes féministes </w:t>
      </w:r>
      <w:r w:rsidR="005E0302">
        <w:t>ont aussi organisé</w:t>
      </w:r>
      <w:r w:rsidRPr="00A2094C">
        <w:t xml:space="preserve"> 3 ateliers en partenariat avec la Maison des Femmes de Paris </w:t>
      </w:r>
      <w:r>
        <w:t>avec pour thèmes</w:t>
      </w:r>
      <w:r w:rsidRPr="00A2094C">
        <w:t> :</w:t>
      </w:r>
    </w:p>
    <w:p w14:paraId="53214F64" w14:textId="77777777" w:rsidR="00027149" w:rsidRPr="00A2094C" w:rsidRDefault="00027149" w:rsidP="00FC42E2">
      <w:pPr>
        <w:ind w:left="426"/>
      </w:pPr>
      <w:r w:rsidRPr="00A2094C">
        <w:t>La GPA :  mieux la connaître, pour mieux la combattre (14 mars 2019)</w:t>
      </w:r>
    </w:p>
    <w:p w14:paraId="3FEF8053" w14:textId="77777777" w:rsidR="00027149" w:rsidRPr="00A2094C" w:rsidRDefault="00027149" w:rsidP="00FC42E2">
      <w:pPr>
        <w:ind w:left="426"/>
      </w:pPr>
      <w:r w:rsidRPr="00A2094C">
        <w:t>Les idées reçues sur la GPA (18 avril 2019)</w:t>
      </w:r>
    </w:p>
    <w:p w14:paraId="621AD78D" w14:textId="77777777" w:rsidR="00027149" w:rsidRDefault="00027149" w:rsidP="00FC42E2">
      <w:pPr>
        <w:ind w:left="426"/>
      </w:pPr>
      <w:r w:rsidRPr="00A2094C">
        <w:t>La géopolitique de la GPA (16 mai 2019)</w:t>
      </w:r>
    </w:p>
    <w:p w14:paraId="7E3C79A6" w14:textId="77777777" w:rsidR="00FD4224" w:rsidRDefault="00027149" w:rsidP="00FC42E2">
      <w:pPr>
        <w:ind w:left="426"/>
      </w:pPr>
      <w:r w:rsidRPr="00027149">
        <w:rPr>
          <w:b/>
          <w:bCs/>
        </w:rPr>
        <w:t xml:space="preserve">Journée </w:t>
      </w:r>
      <w:r>
        <w:rPr>
          <w:b/>
          <w:bCs/>
        </w:rPr>
        <w:t xml:space="preserve">internationale </w:t>
      </w:r>
      <w:r w:rsidRPr="00027149">
        <w:rPr>
          <w:b/>
          <w:bCs/>
        </w:rPr>
        <w:t>contre les violences faites aux femmes</w:t>
      </w:r>
      <w:r>
        <w:t xml:space="preserve"> </w:t>
      </w:r>
      <w:proofErr w:type="gramStart"/>
      <w:r>
        <w:t>( 25</w:t>
      </w:r>
      <w:proofErr w:type="gramEnd"/>
      <w:r>
        <w:t xml:space="preserve"> novembre)  </w:t>
      </w:r>
    </w:p>
    <w:p w14:paraId="4CFE9D5B" w14:textId="022DD94A" w:rsidR="00027149" w:rsidRDefault="00FD4224" w:rsidP="00FC42E2">
      <w:pPr>
        <w:ind w:left="426"/>
        <w:rPr>
          <w:rStyle w:val="tlid-translation"/>
        </w:rPr>
      </w:pPr>
      <w:r>
        <w:t xml:space="preserve">La CIAMS a avancé l’idée que la </w:t>
      </w:r>
      <w:r w:rsidR="00027149">
        <w:rPr>
          <w:rStyle w:val="tlid-translation"/>
        </w:rPr>
        <w:t xml:space="preserve">maternité de substitution </w:t>
      </w:r>
      <w:r>
        <w:rPr>
          <w:rStyle w:val="tlid-translation"/>
        </w:rPr>
        <w:t xml:space="preserve">doit être </w:t>
      </w:r>
      <w:r w:rsidR="00027149">
        <w:rPr>
          <w:rStyle w:val="tlid-translation"/>
        </w:rPr>
        <w:t>considérée comme un élément de la violence à l'égard des femmes et non comme une sous rubrique des droits sexuels et reproductifs ce qui contribue aujourd’hui</w:t>
      </w:r>
      <w:r>
        <w:rPr>
          <w:rStyle w:val="tlid-translation"/>
        </w:rPr>
        <w:t>,</w:t>
      </w:r>
      <w:r w:rsidR="00027149">
        <w:rPr>
          <w:rStyle w:val="tlid-translation"/>
        </w:rPr>
        <w:t xml:space="preserve"> non seulement à invisibiliser le sujet</w:t>
      </w:r>
      <w:r>
        <w:rPr>
          <w:rStyle w:val="tlid-translation"/>
        </w:rPr>
        <w:t>,</w:t>
      </w:r>
      <w:r w:rsidR="00027149">
        <w:rPr>
          <w:rStyle w:val="tlid-translation"/>
        </w:rPr>
        <w:t xml:space="preserve"> mais </w:t>
      </w:r>
      <w:r>
        <w:rPr>
          <w:rStyle w:val="tlid-translation"/>
        </w:rPr>
        <w:t xml:space="preserve">aussi </w:t>
      </w:r>
      <w:r w:rsidR="00027149">
        <w:rPr>
          <w:rStyle w:val="tlid-translation"/>
        </w:rPr>
        <w:t>à admettre</w:t>
      </w:r>
      <w:r w:rsidR="00162B79">
        <w:rPr>
          <w:rStyle w:val="tlid-translation"/>
        </w:rPr>
        <w:t>,</w:t>
      </w:r>
      <w:r w:rsidR="00027149">
        <w:rPr>
          <w:rStyle w:val="tlid-translation"/>
        </w:rPr>
        <w:t xml:space="preserve"> de facto</w:t>
      </w:r>
      <w:r w:rsidR="00162B79">
        <w:rPr>
          <w:rStyle w:val="tlid-translation"/>
        </w:rPr>
        <w:t>,</w:t>
      </w:r>
      <w:r w:rsidR="00027149">
        <w:rPr>
          <w:rStyle w:val="tlid-translation"/>
        </w:rPr>
        <w:t xml:space="preserve"> qu’il s’agit d’une question de reproduction (et non d’exploitation)</w:t>
      </w:r>
      <w:r>
        <w:rPr>
          <w:rStyle w:val="tlid-translation"/>
        </w:rPr>
        <w:t xml:space="preserve">. </w:t>
      </w:r>
    </w:p>
    <w:p w14:paraId="2DB6105A" w14:textId="3BABB1CC" w:rsidR="00FD4224" w:rsidRDefault="003D3160" w:rsidP="00FC42E2">
      <w:pPr>
        <w:ind w:left="426"/>
      </w:pPr>
      <w:r>
        <w:rPr>
          <w:rStyle w:val="tlid-translation"/>
        </w:rPr>
        <w:t xml:space="preserve">La CIAMS a signé l'appel à la marche féministes et était présente dans le cortège abolitionniste.  Dans le cortège, les panneaux de la CIAMS ont reçu des </w:t>
      </w:r>
      <w:r w:rsidR="00162B79">
        <w:rPr>
          <w:rStyle w:val="tlid-translation"/>
        </w:rPr>
        <w:t>projectiles</w:t>
      </w:r>
      <w:r>
        <w:rPr>
          <w:rStyle w:val="tlid-translation"/>
        </w:rPr>
        <w:t xml:space="preserve"> et ses tracts de la CIAMS ont été déchirés et arrachés par des jeunes femmes présentes dans la marche mais sans possibilité de discussion.</w:t>
      </w:r>
    </w:p>
    <w:p w14:paraId="0C6AA785" w14:textId="2E2F0C48" w:rsidR="00FD4224" w:rsidRDefault="00FD4224" w:rsidP="00FC42E2">
      <w:pPr>
        <w:ind w:left="426"/>
      </w:pPr>
      <w:r>
        <w:t>Elle a aussi organisé des interventions publiques :</w:t>
      </w:r>
    </w:p>
    <w:p w14:paraId="2E1F864D" w14:textId="03F42A8D" w:rsidR="002C0275" w:rsidRDefault="002C0275" w:rsidP="00162B79">
      <w:pPr>
        <w:pStyle w:val="Paragraphedeliste"/>
        <w:numPr>
          <w:ilvl w:val="0"/>
          <w:numId w:val="10"/>
        </w:numPr>
        <w:rPr>
          <w:rStyle w:val="tlid-translation"/>
        </w:rPr>
      </w:pPr>
      <w:r>
        <w:rPr>
          <w:rStyle w:val="tlid-translation"/>
        </w:rPr>
        <w:t xml:space="preserve">Rencontre </w:t>
      </w:r>
      <w:r w:rsidR="00FD4224">
        <w:rPr>
          <w:rStyle w:val="tlid-translation"/>
        </w:rPr>
        <w:t>-</w:t>
      </w:r>
      <w:r>
        <w:rPr>
          <w:rStyle w:val="tlid-translation"/>
        </w:rPr>
        <w:t>débat</w:t>
      </w:r>
      <w:r w:rsidR="00FD4224">
        <w:rPr>
          <w:rStyle w:val="tlid-translation"/>
        </w:rPr>
        <w:t xml:space="preserve"> (19 novembre) </w:t>
      </w:r>
      <w:r>
        <w:rPr>
          <w:rStyle w:val="tlid-translation"/>
        </w:rPr>
        <w:t xml:space="preserve">: </w:t>
      </w:r>
      <w:r w:rsidR="003D3160">
        <w:rPr>
          <w:rStyle w:val="tlid-translation"/>
        </w:rPr>
        <w:t>« </w:t>
      </w:r>
      <w:r>
        <w:rPr>
          <w:rStyle w:val="tlid-translation"/>
        </w:rPr>
        <w:t xml:space="preserve">La maternité de substitution fait partie de la violence à l'égard des femmes </w:t>
      </w:r>
      <w:r w:rsidR="00AC0483">
        <w:rPr>
          <w:rStyle w:val="tlid-translation"/>
        </w:rPr>
        <w:t>en partenariat avec la Maison des Femmes de Paris</w:t>
      </w:r>
      <w:r w:rsidR="003D3160">
        <w:rPr>
          <w:rStyle w:val="tlid-translation"/>
        </w:rPr>
        <w:t> »</w:t>
      </w:r>
    </w:p>
    <w:p w14:paraId="319D6BCF" w14:textId="7B8CB234" w:rsidR="003D3160" w:rsidRDefault="002C0275" w:rsidP="00162B79">
      <w:pPr>
        <w:pStyle w:val="Paragraphedeliste"/>
        <w:numPr>
          <w:ilvl w:val="0"/>
          <w:numId w:val="10"/>
        </w:numPr>
      </w:pPr>
      <w:proofErr w:type="gramStart"/>
      <w:r>
        <w:rPr>
          <w:rStyle w:val="tlid-translation"/>
        </w:rPr>
        <w:t>Conférence</w:t>
      </w:r>
      <w:r w:rsidR="00AC0483">
        <w:rPr>
          <w:rStyle w:val="tlid-translation"/>
        </w:rPr>
        <w:t>(</w:t>
      </w:r>
      <w:proofErr w:type="gramEnd"/>
      <w:r w:rsidR="00AC0483">
        <w:rPr>
          <w:rStyle w:val="tlid-translation"/>
        </w:rPr>
        <w:t xml:space="preserve">21 novembre) </w:t>
      </w:r>
      <w:r>
        <w:rPr>
          <w:rStyle w:val="tlid-translation"/>
        </w:rPr>
        <w:t xml:space="preserve"> "</w:t>
      </w:r>
      <w:r w:rsidR="003D3160" w:rsidRPr="003D3160">
        <w:t xml:space="preserve"> </w:t>
      </w:r>
      <w:r w:rsidR="003D3160">
        <w:t xml:space="preserve">Quel regard féministe sur la GPA ? à l’initiative du </w:t>
      </w:r>
      <w:r w:rsidR="003D3160">
        <w:rPr>
          <w:rStyle w:val="tlid-translation"/>
        </w:rPr>
        <w:t>Dorothy Café</w:t>
      </w:r>
    </w:p>
    <w:p w14:paraId="6D049D69" w14:textId="77777777" w:rsidR="00CF1D9E" w:rsidRPr="003D3160" w:rsidRDefault="00CF1D9E" w:rsidP="00FC42E2">
      <w:pPr>
        <w:ind w:left="426"/>
        <w:rPr>
          <w:b/>
          <w:bCs/>
        </w:rPr>
      </w:pPr>
      <w:r w:rsidRPr="003D3160">
        <w:rPr>
          <w:b/>
          <w:bCs/>
        </w:rPr>
        <w:lastRenderedPageBreak/>
        <w:t xml:space="preserve">Autres conférences </w:t>
      </w:r>
    </w:p>
    <w:p w14:paraId="00D29714" w14:textId="1CDB2CD2" w:rsidR="00CF1D9E" w:rsidRDefault="00CF1D9E" w:rsidP="00162B79">
      <w:pPr>
        <w:pStyle w:val="Paragraphedeliste"/>
        <w:numPr>
          <w:ilvl w:val="0"/>
          <w:numId w:val="11"/>
        </w:numPr>
      </w:pPr>
      <w:r>
        <w:t>5 octobre</w:t>
      </w:r>
      <w:r w:rsidR="008B175C">
        <w:t xml:space="preserve"> : </w:t>
      </w:r>
      <w:r>
        <w:t xml:space="preserve"> intervention PMA GPA auprès du CNDF</w:t>
      </w:r>
    </w:p>
    <w:p w14:paraId="5EDFF2DD" w14:textId="4BB311BA" w:rsidR="00775BD3" w:rsidRDefault="00775BD3" w:rsidP="00CB784F">
      <w:pPr>
        <w:pStyle w:val="Titre2"/>
      </w:pPr>
      <w:bookmarkStart w:id="3" w:name="_Toc41571076"/>
      <w:r>
        <w:t>En Italie</w:t>
      </w:r>
      <w:bookmarkEnd w:id="3"/>
      <w:r>
        <w:t xml:space="preserve"> </w:t>
      </w:r>
    </w:p>
    <w:p w14:paraId="57691178" w14:textId="758B0433" w:rsidR="00C3394D" w:rsidRDefault="00C3394D" w:rsidP="00FC42E2">
      <w:pPr>
        <w:ind w:left="426"/>
      </w:pPr>
      <w:r>
        <w:t>La Coalition a été invitée à participer à une conférence et à un débat en Italie par deux de ses membres </w:t>
      </w:r>
      <w:r w:rsidRPr="00190337">
        <w:t xml:space="preserve">Se </w:t>
      </w:r>
      <w:r>
        <w:t>N</w:t>
      </w:r>
      <w:r w:rsidRPr="00190337">
        <w:t xml:space="preserve">on </w:t>
      </w:r>
      <w:r>
        <w:t>O</w:t>
      </w:r>
      <w:r w:rsidRPr="00190337">
        <w:t xml:space="preserve">ra Quando-Libere </w:t>
      </w:r>
      <w:r>
        <w:t>et</w:t>
      </w:r>
      <w:r w:rsidRPr="00190337">
        <w:t xml:space="preserve"> Arcile</w:t>
      </w:r>
      <w:r w:rsidR="005E0302">
        <w:t>s</w:t>
      </w:r>
      <w:r w:rsidRPr="00190337">
        <w:t>bica</w:t>
      </w:r>
      <w:r w:rsidR="00F02BC3">
        <w:t xml:space="preserve"> sur le thème : « </w:t>
      </w:r>
      <w:r w:rsidR="00F02BC3" w:rsidRPr="00F16050">
        <w:t xml:space="preserve">Les enfants </w:t>
      </w:r>
      <w:r w:rsidR="00F02BC3">
        <w:t xml:space="preserve">ni ne </w:t>
      </w:r>
      <w:r w:rsidR="00F02BC3" w:rsidRPr="00F16050">
        <w:t>se vendent</w:t>
      </w:r>
      <w:r w:rsidR="00F02BC3">
        <w:t>, ni</w:t>
      </w:r>
      <w:r w:rsidR="00F02BC3" w:rsidRPr="00F16050">
        <w:t xml:space="preserve"> ne se donne</w:t>
      </w:r>
      <w:r w:rsidR="00F02BC3">
        <w:t>nt</w:t>
      </w:r>
      <w:r w:rsidR="00F02BC3" w:rsidRPr="00F16050">
        <w:t xml:space="preserve"> et les femmes ne se louent pas. Pourquoi une Coalition Internationale contre la GPA</w:t>
      </w:r>
      <w:r w:rsidR="00F02BC3">
        <w:t> ?"</w:t>
      </w:r>
    </w:p>
    <w:p w14:paraId="5A405E1C" w14:textId="77777777" w:rsidR="00277059" w:rsidRDefault="00C3394D" w:rsidP="00FC42E2">
      <w:pPr>
        <w:pStyle w:val="Paragraphedeliste"/>
        <w:numPr>
          <w:ilvl w:val="0"/>
          <w:numId w:val="9"/>
        </w:numPr>
        <w:ind w:left="851" w:hanging="284"/>
      </w:pPr>
      <w:r w:rsidRPr="00277059">
        <w:rPr>
          <w:b/>
          <w:bCs/>
        </w:rPr>
        <w:t xml:space="preserve">Conférence à Milan, </w:t>
      </w:r>
      <w:r w:rsidR="00F02BC3" w:rsidRPr="00277059">
        <w:rPr>
          <w:b/>
          <w:bCs/>
        </w:rPr>
        <w:t>(</w:t>
      </w:r>
      <w:r w:rsidRPr="00277059">
        <w:rPr>
          <w:b/>
          <w:bCs/>
        </w:rPr>
        <w:t>18 mai</w:t>
      </w:r>
      <w:r w:rsidR="00F02BC3" w:rsidRPr="00277059">
        <w:rPr>
          <w:b/>
          <w:bCs/>
        </w:rPr>
        <w:t>)</w:t>
      </w:r>
      <w:r w:rsidRPr="00277059">
        <w:rPr>
          <w:b/>
          <w:bCs/>
        </w:rPr>
        <w:t xml:space="preserve"> 'Cambio di civilta' (Changement de civilisation)</w:t>
      </w:r>
      <w:r w:rsidR="00277059" w:rsidRPr="00277059">
        <w:rPr>
          <w:b/>
          <w:bCs/>
        </w:rPr>
        <w:t xml:space="preserve"> </w:t>
      </w:r>
      <w:bookmarkStart w:id="4" w:name="_Hlk40997193"/>
      <w:r w:rsidR="00277059">
        <w:fldChar w:fldCharType="begin"/>
      </w:r>
      <w:r w:rsidR="00277059">
        <w:instrText xml:space="preserve"> HYPERLINK "</w:instrText>
      </w:r>
      <w:r w:rsidR="00277059" w:rsidRPr="009539D5">
        <w:instrText>https://www.facebook.com/watch/live/?v=425483238250531&amp;ref=watch_permalink</w:instrText>
      </w:r>
      <w:r w:rsidR="00277059">
        <w:instrText xml:space="preserve">" </w:instrText>
      </w:r>
      <w:r w:rsidR="00277059">
        <w:fldChar w:fldCharType="separate"/>
      </w:r>
      <w:r w:rsidR="00277059" w:rsidRPr="00DC3C4D">
        <w:rPr>
          <w:rStyle w:val="Lienhypertexte"/>
        </w:rPr>
        <w:t>https://www.facebook.com/watch/live/?v=425483238250531&amp;ref=watch_permalink</w:t>
      </w:r>
      <w:r w:rsidR="00277059">
        <w:fldChar w:fldCharType="end"/>
      </w:r>
    </w:p>
    <w:bookmarkEnd w:id="4"/>
    <w:p w14:paraId="6041900C" w14:textId="20B82843" w:rsidR="00277059" w:rsidRDefault="00F02BC3" w:rsidP="00FC42E2">
      <w:pPr>
        <w:pStyle w:val="Paragraphedeliste"/>
        <w:numPr>
          <w:ilvl w:val="0"/>
          <w:numId w:val="9"/>
        </w:numPr>
        <w:ind w:left="851" w:hanging="284"/>
      </w:pPr>
      <w:r w:rsidRPr="00277059">
        <w:rPr>
          <w:b/>
          <w:bCs/>
        </w:rPr>
        <w:t xml:space="preserve">Débat à Rome </w:t>
      </w:r>
      <w:r w:rsidRPr="00F02BC3">
        <w:t>diffusé en streaming</w:t>
      </w:r>
      <w:r>
        <w:t xml:space="preserve"> </w:t>
      </w:r>
      <w:r w:rsidR="003D3160" w:rsidRPr="00F02BC3">
        <w:t>(</w:t>
      </w:r>
      <w:r w:rsidR="00C3394D" w:rsidRPr="00F02BC3">
        <w:t>17 mai</w:t>
      </w:r>
      <w:r w:rsidR="003D3160" w:rsidRPr="00F02BC3">
        <w:t>)</w:t>
      </w:r>
      <w:r w:rsidR="00C3394D" w:rsidRPr="00F02BC3">
        <w:t xml:space="preserve"> </w:t>
      </w:r>
      <w:bookmarkStart w:id="5" w:name="_Hlk5450116"/>
      <w:r>
        <w:t xml:space="preserve">organisé par </w:t>
      </w:r>
      <w:r w:rsidR="00C3394D" w:rsidRPr="00F02BC3">
        <w:t xml:space="preserve">"L'Italia che verrà", un réseau de femmes et hommes de gauche </w:t>
      </w:r>
      <w:r w:rsidR="00277059">
        <w:t xml:space="preserve"> </w:t>
      </w:r>
      <w:hyperlink r:id="rId7" w:history="1">
        <w:r w:rsidR="00FC42E2" w:rsidRPr="007D115F">
          <w:rPr>
            <w:rStyle w:val="Lienhypertexte"/>
          </w:rPr>
          <w:t>https://www.facebook.com/watch/live/?v=301869897405696&amp;ref=watch_permalink</w:t>
        </w:r>
      </w:hyperlink>
    </w:p>
    <w:p w14:paraId="34F7061B" w14:textId="7CF2EF5F" w:rsidR="009A17C2" w:rsidRDefault="009A17C2" w:rsidP="009539D5">
      <w:pPr>
        <w:pStyle w:val="Titre2"/>
      </w:pPr>
      <w:bookmarkStart w:id="6" w:name="_Toc11247948"/>
      <w:bookmarkStart w:id="7" w:name="_Toc11248095"/>
      <w:bookmarkStart w:id="8" w:name="_Toc41571077"/>
      <w:bookmarkEnd w:id="5"/>
      <w:r>
        <w:t>Serbie</w:t>
      </w:r>
      <w:bookmarkEnd w:id="6"/>
      <w:bookmarkEnd w:id="7"/>
      <w:bookmarkEnd w:id="8"/>
    </w:p>
    <w:p w14:paraId="03B200C5" w14:textId="0B925C6A" w:rsidR="009A17C2" w:rsidRDefault="009539D5" w:rsidP="00FC42E2">
      <w:pPr>
        <w:ind w:left="426"/>
        <w:rPr>
          <w:rStyle w:val="tlid-translation"/>
        </w:rPr>
      </w:pPr>
      <w:r>
        <w:rPr>
          <w:rStyle w:val="tlid-translation"/>
        </w:rPr>
        <w:t xml:space="preserve">La Coalition a soutenu l’action du </w:t>
      </w:r>
      <w:r w:rsidR="009A17C2">
        <w:rPr>
          <w:rStyle w:val="tlid-translation"/>
        </w:rPr>
        <w:t>Centre autonome des femmes contre la légalisation de la maternité de substitution en Serbie</w:t>
      </w:r>
      <w:r>
        <w:rPr>
          <w:rStyle w:val="tlid-translation"/>
        </w:rPr>
        <w:t>, mais la décision est passée et l’accès à la maternité de substitution figure désormais au Code civil serbe.</w:t>
      </w:r>
      <w:r w:rsidR="009A17C2">
        <w:rPr>
          <w:rStyle w:val="tlid-translation"/>
        </w:rPr>
        <w:t xml:space="preserve"> </w:t>
      </w:r>
    </w:p>
    <w:p w14:paraId="4317F1D8" w14:textId="1606AD6D" w:rsidR="002B7168" w:rsidRPr="002B7168" w:rsidRDefault="002B7168" w:rsidP="0088578F">
      <w:pPr>
        <w:pStyle w:val="Titre1"/>
      </w:pPr>
      <w:bookmarkStart w:id="9" w:name="_Toc41571078"/>
      <w:r w:rsidRPr="0088578F">
        <w:t>Campagnes</w:t>
      </w:r>
      <w:bookmarkEnd w:id="9"/>
      <w:r>
        <w:t xml:space="preserve"> </w:t>
      </w:r>
    </w:p>
    <w:p w14:paraId="4251A2A1" w14:textId="77777777" w:rsidR="00161A43" w:rsidRPr="0088578F" w:rsidRDefault="00161A43" w:rsidP="0088578F">
      <w:pPr>
        <w:pStyle w:val="Titre2"/>
      </w:pPr>
      <w:bookmarkStart w:id="10" w:name="_Toc18517872"/>
      <w:bookmarkStart w:id="11" w:name="_Toc41571079"/>
      <w:r w:rsidRPr="0088578F">
        <w:t>Plus belle la vie … oui, mais sans GPA (Campagne)</w:t>
      </w:r>
      <w:bookmarkEnd w:id="10"/>
      <w:bookmarkEnd w:id="11"/>
    </w:p>
    <w:p w14:paraId="561785DB" w14:textId="64D6C1B2" w:rsidR="00E754DC" w:rsidRDefault="00161A43" w:rsidP="00E754DC">
      <w:pPr>
        <w:ind w:left="360"/>
      </w:pPr>
      <w:r>
        <w:t>Lancée le 23 juillet</w:t>
      </w:r>
      <w:r w:rsidR="00162B79">
        <w:t>,</w:t>
      </w:r>
      <w:r>
        <w:t xml:space="preserve"> la campagne a rencontré un vif succès. Il s’agissait de confronter la production de la série télévisée « plus belle la vie », diffusée sur la chaîne nationale </w:t>
      </w:r>
      <w:r w:rsidR="00E754DC">
        <w:t xml:space="preserve">française </w:t>
      </w:r>
      <w:r>
        <w:t>FR3</w:t>
      </w:r>
      <w:r w:rsidR="00162B79">
        <w:t>,</w:t>
      </w:r>
      <w:r>
        <w:t xml:space="preserve"> pour son traitement en faveur de la GPA. La série est vue quotidiennement par 5 millions de spectateurs et spectatrices.</w:t>
      </w:r>
      <w:r w:rsidR="00E754DC" w:rsidRPr="00E754DC">
        <w:t xml:space="preserve"> </w:t>
      </w:r>
      <w:r w:rsidR="00E754DC">
        <w:t xml:space="preserve">Les radios et presses nationales ainsi que la presse régionale ont tous évoqué cette campagne, </w:t>
      </w:r>
      <w:r w:rsidR="00E754DC" w:rsidRPr="00DA3425">
        <w:rPr>
          <w:b/>
          <w:bCs/>
        </w:rPr>
        <w:t>faisant enfin le lien entre contestation de la GPA et féminisme</w:t>
      </w:r>
    </w:p>
    <w:p w14:paraId="273A0481" w14:textId="04E0B491" w:rsidR="00161A43" w:rsidRDefault="00161A43" w:rsidP="00161A43">
      <w:pPr>
        <w:ind w:left="360"/>
      </w:pPr>
      <w:r>
        <w:t xml:space="preserve">35 organisations </w:t>
      </w:r>
      <w:r w:rsidR="00162B79">
        <w:t xml:space="preserve">et </w:t>
      </w:r>
      <w:r>
        <w:t xml:space="preserve">une quinzaine d’individu-e-s se sont associé-e-s à cette campagne. </w:t>
      </w:r>
      <w:hyperlink r:id="rId8" w:history="1">
        <w:r>
          <w:rPr>
            <w:rStyle w:val="Lienhypertexte"/>
          </w:rPr>
          <w:t>http://abolition-ms.org/actualites/plus-belle-la-vie-oui-mais-sans-gpa-communique-de-presse/</w:t>
        </w:r>
      </w:hyperlink>
    </w:p>
    <w:p w14:paraId="557C1B1F" w14:textId="77777777" w:rsidR="00161A43" w:rsidRPr="0088578F" w:rsidRDefault="00161A43" w:rsidP="0088578F">
      <w:pPr>
        <w:pStyle w:val="Titre2"/>
      </w:pPr>
      <w:bookmarkStart w:id="12" w:name="_Toc18517873"/>
      <w:bookmarkStart w:id="13" w:name="_Toc41571080"/>
      <w:r w:rsidRPr="0088578F">
        <w:t>Pour une journée des fiertés LGBT sans exploitation (Campagne)</w:t>
      </w:r>
      <w:bookmarkEnd w:id="12"/>
      <w:bookmarkEnd w:id="13"/>
    </w:p>
    <w:p w14:paraId="152949E8" w14:textId="78DFB710" w:rsidR="00161A43" w:rsidRDefault="00161A43" w:rsidP="00161A43">
      <w:pPr>
        <w:ind w:left="360"/>
        <w:rPr>
          <w:rStyle w:val="Lienhypertexte"/>
        </w:rPr>
      </w:pPr>
      <w:r>
        <w:t>Cette campagne</w:t>
      </w:r>
      <w:r w:rsidR="00E754DC">
        <w:t xml:space="preserve">, a été </w:t>
      </w:r>
      <w:r>
        <w:t>lancée à l’initiative de 3 organisations espagnoles membres de la CIAMS : Stop Vientres de Alquiler ; RECAV (Réseau espagnol contre le recours à la maternité de substitution) et No Somos Vasijas, Elle a recueilli 920 signatures dont 92 organisations.</w:t>
      </w:r>
      <w:r w:rsidRPr="00C83734">
        <w:t xml:space="preserve"> </w:t>
      </w:r>
      <w:hyperlink r:id="rId9" w:history="1">
        <w:r w:rsidR="00E754DC" w:rsidRPr="00DC3C4D">
          <w:rPr>
            <w:rStyle w:val="Lienhypertexte"/>
          </w:rPr>
          <w:t>https://stopvientresdealquiler.wordpress.com/2019/07/08/92-organizaciones-y-mas-de-920-personas-se-adhieren-al-manifiesto-por-un-orgullo-sn-opresion-y-por-familiaslibresdeexplotacionreproductiva/</w:t>
        </w:r>
      </w:hyperlink>
    </w:p>
    <w:p w14:paraId="6C05145B" w14:textId="77777777" w:rsidR="00161A43" w:rsidRDefault="00161A43" w:rsidP="00161A43">
      <w:pPr>
        <w:ind w:left="360"/>
        <w:rPr>
          <w:rStyle w:val="Lienhypertexte"/>
        </w:rPr>
      </w:pPr>
      <w:r>
        <w:t xml:space="preserve">Cette campagne a été relayée par la CIAMS </w:t>
      </w:r>
      <w:hyperlink r:id="rId10" w:history="1">
        <w:r>
          <w:rPr>
            <w:rStyle w:val="Lienhypertexte"/>
          </w:rPr>
          <w:t>http://abolition-ms.org/actualites/pour-une-journee-des-fiertes-lgbti-sans-exploitationen-2019/</w:t>
        </w:r>
      </w:hyperlink>
      <w:r>
        <w:t xml:space="preserve"> et nous a permis de recenser, avec l’appui de Stop Vientres de Alquiler, les organisations lesbiennes et les organisations LGBTI qui se sont positionnées contre le recours à la maternité de Substitution </w:t>
      </w:r>
      <w:hyperlink r:id="rId11" w:history="1">
        <w:r>
          <w:rPr>
            <w:rStyle w:val="Lienhypertexte"/>
          </w:rPr>
          <w:t>http://abolition-ms.org/tribunes-fr/des-voix-lgbti-selevent-pour-sopposer-au-recours-a-la-maternite-de-substitution-gpa/</w:t>
        </w:r>
      </w:hyperlink>
    </w:p>
    <w:p w14:paraId="2D4C3AD2" w14:textId="2E5E4463" w:rsidR="00EE7224" w:rsidRDefault="00EE7224" w:rsidP="0088578F">
      <w:pPr>
        <w:pStyle w:val="Titre2"/>
      </w:pPr>
      <w:bookmarkStart w:id="14" w:name="_Toc41571081"/>
      <w:r w:rsidRPr="0088578F">
        <w:t>Cambodge</w:t>
      </w:r>
      <w:r w:rsidR="00FC42E2">
        <w:t xml:space="preserve"> : </w:t>
      </w:r>
      <w:r w:rsidR="004C20AD">
        <w:t>protestation contre les recommandations du comité CEDEF</w:t>
      </w:r>
      <w:bookmarkEnd w:id="14"/>
    </w:p>
    <w:p w14:paraId="29FCBA8D" w14:textId="0AA29765" w:rsidR="004A34AA" w:rsidRDefault="006B5FD8" w:rsidP="00FC42E2">
      <w:pPr>
        <w:ind w:left="426"/>
      </w:pPr>
      <w:r>
        <w:t>Le comité CEDEF</w:t>
      </w:r>
      <w:r w:rsidR="004A34AA">
        <w:t>,</w:t>
      </w:r>
      <w:r>
        <w:t xml:space="preserve"> </w:t>
      </w:r>
      <w:r w:rsidR="004A34AA">
        <w:t xml:space="preserve">chargé du suivi de la Convention sur l'Elimination de toutes les formes de Discrimination à l'Egard des Femmes, a recommandé au Cambodge d’annuler une loi interdisant la pratique de la maternité de substitution </w:t>
      </w:r>
      <w:proofErr w:type="gramStart"/>
      <w:r w:rsidR="004A34AA">
        <w:t xml:space="preserve">( </w:t>
      </w:r>
      <w:r w:rsidR="009507E9">
        <w:t>2016</w:t>
      </w:r>
      <w:proofErr w:type="gramEnd"/>
      <w:r w:rsidR="009507E9">
        <w:t>, loi contre le trafic humain).  Nous sommes intervenu</w:t>
      </w:r>
      <w:r w:rsidR="00414E5C">
        <w:t xml:space="preserve">es (en vain) auprès des vice-présidentes du comité </w:t>
      </w:r>
      <w:r w:rsidR="009507E9">
        <w:t>pour que le comité CEDEF modifie ses conclusions</w:t>
      </w:r>
      <w:r w:rsidR="00162B79">
        <w:t xml:space="preserve">. </w:t>
      </w:r>
      <w:r w:rsidR="009507E9">
        <w:t xml:space="preserve"> Heureusement le Cambodge n’a </w:t>
      </w:r>
      <w:r w:rsidR="00FC42E2">
        <w:t>p</w:t>
      </w:r>
      <w:r w:rsidR="009507E9">
        <w:t xml:space="preserve">as suivi leur recommandations et </w:t>
      </w:r>
      <w:r w:rsidR="00414E5C">
        <w:t>une nouvelle l</w:t>
      </w:r>
      <w:r w:rsidR="00FC42E2">
        <w:t>oi</w:t>
      </w:r>
      <w:r w:rsidR="00414E5C">
        <w:t xml:space="preserve"> est en discussion pour traiter spécifiquement de la maternité de substitution.  Nous avons été profondément choquées des pratiques du comité CEDEF </w:t>
      </w:r>
    </w:p>
    <w:p w14:paraId="77C33645" w14:textId="77777777" w:rsidR="00D65D5F" w:rsidRDefault="003B443E" w:rsidP="00D65D5F">
      <w:r>
        <w:t>Extrait de la lettre adressée à l’une des vice</w:t>
      </w:r>
      <w:r w:rsidR="00FC42E2">
        <w:t>-</w:t>
      </w:r>
      <w:r>
        <w:t>présidentes</w:t>
      </w:r>
      <w:r w:rsidR="00D65D5F">
        <w:t> :</w:t>
      </w:r>
    </w:p>
    <w:p w14:paraId="29C96260" w14:textId="7523C180" w:rsidR="003B443E" w:rsidRPr="00D65D5F" w:rsidRDefault="003B443E" w:rsidP="00D65D5F">
      <w:pPr>
        <w:rPr>
          <w:lang w:eastAsia="fr-FR"/>
        </w:rPr>
      </w:pPr>
      <w:r w:rsidRPr="00D65D5F">
        <w:lastRenderedPageBreak/>
        <w:t>« </w:t>
      </w:r>
      <w:r w:rsidRPr="00D65D5F">
        <w:rPr>
          <w:lang w:eastAsia="fr-FR"/>
        </w:rPr>
        <w:t>Nous avons appris qu'au cours de la session CEDEF du 28 octobre 2019 que le OHCHR aurait insisté sur la légalisation de la GPA au Cambodge. Le Cambodge a interdit cette pratique mais souhaiterait organiser cette interdiction avec un nouveau texte de loi.</w:t>
      </w:r>
    </w:p>
    <w:p w14:paraId="2DCFD538" w14:textId="07C422B9" w:rsidR="003B443E" w:rsidRPr="00D65D5F" w:rsidRDefault="003B443E" w:rsidP="00D65D5F">
      <w:pPr>
        <w:rPr>
          <w:lang w:eastAsia="fr-FR"/>
        </w:rPr>
      </w:pPr>
      <w:r w:rsidRPr="00D65D5F">
        <w:rPr>
          <w:lang w:eastAsia="fr-FR"/>
        </w:rPr>
        <w:t>Selon nos informations, le OHCHR s'appuie, pour étayer sa position en faveur d'une légalisation de la GPA</w:t>
      </w:r>
      <w:r w:rsidR="0058638A" w:rsidRPr="00D65D5F">
        <w:rPr>
          <w:lang w:eastAsia="fr-FR"/>
        </w:rPr>
        <w:t xml:space="preserve"> au Cambodge</w:t>
      </w:r>
      <w:r w:rsidRPr="00D65D5F">
        <w:rPr>
          <w:lang w:eastAsia="fr-FR"/>
        </w:rPr>
        <w:t xml:space="preserve">, sur une étude réalisée par l'université de Chicago. </w:t>
      </w:r>
      <w:hyperlink r:id="rId12" w:tgtFrame="_blank" w:history="1">
        <w:r w:rsidRPr="00D65D5F">
          <w:rPr>
            <w:color w:val="0000FF"/>
            <w:u w:val="single"/>
            <w:lang w:eastAsia="fr-FR"/>
          </w:rPr>
          <w:t>https://chicagounbound.uchicago.edu/cgi/viewcontent.cgi?article=1009&amp;context=ihrc</w:t>
        </w:r>
      </w:hyperlink>
    </w:p>
    <w:p w14:paraId="19337EBE" w14:textId="1E8E2847" w:rsidR="003B443E" w:rsidRPr="00D65D5F" w:rsidRDefault="003B443E" w:rsidP="00D65D5F">
      <w:pPr>
        <w:rPr>
          <w:lang w:eastAsia="fr-FR"/>
        </w:rPr>
      </w:pPr>
      <w:r w:rsidRPr="00D65D5F">
        <w:rPr>
          <w:lang w:eastAsia="fr-FR"/>
        </w:rPr>
        <w:t xml:space="preserve">Nous avons pris connaissance de cette étude qui pourrait être qualifiée de propagande en faveur de la légalisation de la GPA, tant les droits humains fondamentaux y sont bafoués et détournés. </w:t>
      </w:r>
    </w:p>
    <w:p w14:paraId="6791F7BE" w14:textId="77777777" w:rsidR="003B443E" w:rsidRPr="00D65D5F" w:rsidRDefault="003B443E" w:rsidP="00D65D5F">
      <w:pPr>
        <w:rPr>
          <w:lang w:eastAsia="fr-FR"/>
        </w:rPr>
      </w:pPr>
      <w:r w:rsidRPr="00D65D5F">
        <w:rPr>
          <w:lang w:eastAsia="fr-FR"/>
        </w:rPr>
        <w:t xml:space="preserve">Pourtant il est clair que la légalisation de la GPA au Cambodge ne relève pas d'un besoin social </w:t>
      </w:r>
      <w:proofErr w:type="gramStart"/>
      <w:r w:rsidRPr="00D65D5F">
        <w:rPr>
          <w:lang w:eastAsia="fr-FR"/>
        </w:rPr>
        <w:t>local ,</w:t>
      </w:r>
      <w:proofErr w:type="gramEnd"/>
      <w:r w:rsidRPr="00D65D5F">
        <w:rPr>
          <w:lang w:eastAsia="fr-FR"/>
        </w:rPr>
        <w:t xml:space="preserve"> mais répond à des besoins occidentaux.</w:t>
      </w:r>
    </w:p>
    <w:p w14:paraId="65DA211E" w14:textId="77777777" w:rsidR="003B443E" w:rsidRPr="00D65D5F" w:rsidRDefault="003B443E" w:rsidP="00D65D5F">
      <w:pPr>
        <w:rPr>
          <w:lang w:eastAsia="fr-FR"/>
        </w:rPr>
      </w:pPr>
      <w:r w:rsidRPr="00D65D5F">
        <w:rPr>
          <w:lang w:eastAsia="fr-FR"/>
        </w:rPr>
        <w:t>Nous sommes aussi très sensibles au fait que le développement de la GPA absorbe les meilleures ressources médicales des pays où elle se développe au détriment des populations.</w:t>
      </w:r>
    </w:p>
    <w:p w14:paraId="2FBBEC68" w14:textId="656AB7BB" w:rsidR="00C3394D" w:rsidRPr="00D65D5F" w:rsidRDefault="003B443E" w:rsidP="00D65D5F">
      <w:pPr>
        <w:rPr>
          <w:lang w:eastAsia="fr-FR"/>
        </w:rPr>
      </w:pPr>
      <w:r w:rsidRPr="00D65D5F">
        <w:rPr>
          <w:lang w:eastAsia="fr-FR"/>
        </w:rPr>
        <w:t>Nous vous remercions de ce que vous pourriez engager au sein du comité CEDAW pour rétablir un meilleur équilibre en faveur d'une visions éclairée des droits des femmes »</w:t>
      </w:r>
    </w:p>
    <w:p w14:paraId="447D2DBC" w14:textId="77777777" w:rsidR="00CB784F" w:rsidRDefault="00CB784F" w:rsidP="00CB784F">
      <w:pPr>
        <w:pStyle w:val="Titre1"/>
      </w:pPr>
      <w:bookmarkStart w:id="15" w:name="_Toc41571082"/>
      <w:bookmarkStart w:id="16" w:name="_Toc3133853"/>
      <w:r>
        <w:t>Actions institutionnelles</w:t>
      </w:r>
      <w:bookmarkEnd w:id="15"/>
      <w:r>
        <w:t xml:space="preserve"> </w:t>
      </w:r>
    </w:p>
    <w:p w14:paraId="21CEB391" w14:textId="77777777" w:rsidR="00775BD3" w:rsidRPr="00A2094C" w:rsidRDefault="00775BD3" w:rsidP="00CB784F">
      <w:pPr>
        <w:pStyle w:val="Titre2"/>
      </w:pPr>
      <w:bookmarkStart w:id="17" w:name="_Toc41571083"/>
      <w:r w:rsidRPr="00A2094C">
        <w:t>CEDH</w:t>
      </w:r>
      <w:r>
        <w:t>-</w:t>
      </w:r>
      <w:r w:rsidRPr="007A5675">
        <w:t xml:space="preserve"> </w:t>
      </w:r>
      <w:r w:rsidRPr="00A2094C">
        <w:t xml:space="preserve">Cour Européenne pour les droits </w:t>
      </w:r>
      <w:r>
        <w:t>humains</w:t>
      </w:r>
      <w:bookmarkEnd w:id="16"/>
      <w:bookmarkEnd w:id="17"/>
      <w:r w:rsidRPr="00A2094C">
        <w:t xml:space="preserve">  </w:t>
      </w:r>
    </w:p>
    <w:p w14:paraId="2B37C603" w14:textId="02AE4A11" w:rsidR="00226CC2" w:rsidRPr="004D4FC2" w:rsidRDefault="00226CC2" w:rsidP="005E3C59">
      <w:pPr>
        <w:ind w:left="426"/>
        <w:rPr>
          <w:lang w:eastAsia="fr-FR"/>
        </w:rPr>
      </w:pPr>
      <w:r w:rsidRPr="009B5D41">
        <w:rPr>
          <w:lang w:eastAsia="fr-FR"/>
        </w:rPr>
        <w:t>À la demande de la Cour de cassation française, la CEDH a rendu un avis consultatif concernant la reconnaissance en droit interne d'un</w:t>
      </w:r>
      <w:r>
        <w:rPr>
          <w:lang w:eastAsia="fr-FR"/>
        </w:rPr>
        <w:t xml:space="preserve"> lien de filiation </w:t>
      </w:r>
      <w:r w:rsidRPr="004D4FC2">
        <w:rPr>
          <w:lang w:eastAsia="fr-FR"/>
        </w:rPr>
        <w:t>entre un enfant né d’une gestation pour autrui pratiquée à l’étranger</w:t>
      </w:r>
      <w:r>
        <w:rPr>
          <w:lang w:eastAsia="fr-FR"/>
        </w:rPr>
        <w:t xml:space="preserve"> </w:t>
      </w:r>
      <w:r w:rsidRPr="004D4FC2">
        <w:rPr>
          <w:lang w:eastAsia="fr-FR"/>
        </w:rPr>
        <w:t>et la mère d’intention</w:t>
      </w:r>
    </w:p>
    <w:bookmarkStart w:id="18" w:name="_Hlk41563113"/>
    <w:p w14:paraId="3C1AC718" w14:textId="07E342EB" w:rsidR="00226CC2" w:rsidRDefault="00C30749" w:rsidP="005E3C59">
      <w:pPr>
        <w:ind w:left="426"/>
        <w:rPr>
          <w:lang w:eastAsia="fr-FR"/>
        </w:rPr>
      </w:pPr>
      <w:r>
        <w:fldChar w:fldCharType="begin"/>
      </w:r>
      <w:r>
        <w:instrText xml:space="preserve"> HYPERLINK "https://hudoc.echr.coe.int/eng" \l "{%22display%22:[%220%22],%22languageisocode%22:[%22FRE%22],%22documentcollectionid2%22:[%22OPINIONS%22],%22itemid%22:[%22003-6380431-8364345%22]}" </w:instrText>
      </w:r>
      <w:r>
        <w:fldChar w:fldCharType="separate"/>
      </w:r>
      <w:r w:rsidR="00226CC2" w:rsidRPr="00142189">
        <w:rPr>
          <w:rStyle w:val="Lienhypertexte"/>
          <w:rFonts w:ascii="Times New Roman" w:eastAsia="Times New Roman" w:hAnsi="Times New Roman" w:cs="Times New Roman"/>
          <w:sz w:val="24"/>
          <w:szCs w:val="24"/>
          <w:lang w:eastAsia="fr-FR"/>
        </w:rPr>
        <w:t>https://hudoc.echr.coe.int/eng#{%22display%22:[%220%22],%22languageisocode%22:[%22FRE%22],%22documentcollectionid2%22:[%22OPINIONS%22],%22itemid%22:[%22003-6380431-8364345%22]}</w:t>
      </w:r>
      <w:r>
        <w:rPr>
          <w:rStyle w:val="Lienhypertexte"/>
          <w:rFonts w:ascii="Times New Roman" w:eastAsia="Times New Roman" w:hAnsi="Times New Roman" w:cs="Times New Roman"/>
          <w:sz w:val="24"/>
          <w:szCs w:val="24"/>
          <w:lang w:eastAsia="fr-FR"/>
        </w:rPr>
        <w:fldChar w:fldCharType="end"/>
      </w:r>
    </w:p>
    <w:bookmarkEnd w:id="18"/>
    <w:p w14:paraId="6A54B2D7" w14:textId="77777777" w:rsidR="00226CC2" w:rsidRDefault="00226CC2" w:rsidP="005E3C59">
      <w:pPr>
        <w:ind w:left="426"/>
        <w:rPr>
          <w:lang w:eastAsia="fr-FR"/>
        </w:rPr>
      </w:pPr>
      <w:r w:rsidRPr="009B5D41">
        <w:rPr>
          <w:lang w:eastAsia="fr-FR"/>
        </w:rPr>
        <w:t xml:space="preserve">La Coalition a été autorisée (à sa demande) à envoyer des observations à la CEDH (Ana Luena </w:t>
      </w:r>
      <w:r>
        <w:rPr>
          <w:lang w:eastAsia="fr-FR"/>
        </w:rPr>
        <w:t xml:space="preserve">Stoicea </w:t>
      </w:r>
      <w:r w:rsidRPr="009B5D41">
        <w:rPr>
          <w:lang w:eastAsia="fr-FR"/>
        </w:rPr>
        <w:t xml:space="preserve">Deram avec des membres du CoRP), voir </w:t>
      </w:r>
      <w:hyperlink r:id="rId13" w:history="1">
        <w:r w:rsidRPr="009B5D41">
          <w:rPr>
            <w:rStyle w:val="Lienhypertexte"/>
            <w:rFonts w:ascii="Times New Roman" w:eastAsia="Times New Roman" w:hAnsi="Times New Roman" w:cs="Times New Roman"/>
            <w:sz w:val="24"/>
            <w:szCs w:val="24"/>
            <w:lang w:eastAsia="fr-FR"/>
          </w:rPr>
          <w:t>http://abolition-ms.org/actualites/observations-ecrites-presentees-par- la-ciams-a-la-cedh-janvier-2019 /</w:t>
        </w:r>
      </w:hyperlink>
      <w:r w:rsidRPr="009B5D41">
        <w:rPr>
          <w:lang w:eastAsia="fr-FR"/>
        </w:rPr>
        <w:t>.</w:t>
      </w:r>
    </w:p>
    <w:p w14:paraId="4E5DDB1D" w14:textId="7D0934D0" w:rsidR="00226CC2" w:rsidRDefault="00226CC2" w:rsidP="005E3C59">
      <w:pPr>
        <w:ind w:left="426"/>
        <w:rPr>
          <w:lang w:eastAsia="fr-FR"/>
        </w:rPr>
      </w:pPr>
      <w:r w:rsidRPr="009B5D41">
        <w:rPr>
          <w:lang w:eastAsia="fr-FR"/>
        </w:rPr>
        <w:t xml:space="preserve">À la suite de cet avis consultatif de la CEDH, </w:t>
      </w:r>
      <w:r w:rsidR="001D2AC3">
        <w:rPr>
          <w:lang w:eastAsia="fr-FR"/>
        </w:rPr>
        <w:t xml:space="preserve">en Italie, </w:t>
      </w:r>
      <w:r w:rsidRPr="009B5D41">
        <w:rPr>
          <w:lang w:eastAsia="fr-FR"/>
        </w:rPr>
        <w:t>la Cour de cassation Italie</w:t>
      </w:r>
      <w:r>
        <w:rPr>
          <w:lang w:eastAsia="fr-FR"/>
        </w:rPr>
        <w:t>nne</w:t>
      </w:r>
      <w:r w:rsidRPr="009B5D41">
        <w:rPr>
          <w:lang w:eastAsia="fr-FR"/>
        </w:rPr>
        <w:t xml:space="preserve"> a statué </w:t>
      </w:r>
      <w:r>
        <w:rPr>
          <w:lang w:eastAsia="fr-FR"/>
        </w:rPr>
        <w:t xml:space="preserve">dans le même sens </w:t>
      </w:r>
      <w:r w:rsidRPr="009B5D41">
        <w:rPr>
          <w:lang w:eastAsia="fr-FR"/>
        </w:rPr>
        <w:t>que le parent présumé d’un enfant né d</w:t>
      </w:r>
      <w:r>
        <w:rPr>
          <w:lang w:eastAsia="fr-FR"/>
        </w:rPr>
        <w:t xml:space="preserve">’une gestation pour autrui </w:t>
      </w:r>
      <w:r w:rsidRPr="009B5D41">
        <w:rPr>
          <w:lang w:eastAsia="fr-FR"/>
        </w:rPr>
        <w:t xml:space="preserve">ne serait pas automatiquement reconnu </w:t>
      </w:r>
      <w:hyperlink r:id="rId14" w:history="1">
        <w:r w:rsidRPr="009B5D41">
          <w:rPr>
            <w:rStyle w:val="Lienhypertexte"/>
            <w:rFonts w:ascii="Times New Roman" w:eastAsia="Times New Roman" w:hAnsi="Times New Roman" w:cs="Times New Roman"/>
            <w:sz w:val="24"/>
            <w:szCs w:val="24"/>
            <w:lang w:eastAsia="fr-FR"/>
          </w:rPr>
          <w:t>https://www.bionews.org.uk/page_142843</w:t>
        </w:r>
      </w:hyperlink>
    </w:p>
    <w:p w14:paraId="01ABCECA" w14:textId="41CBA9D9" w:rsidR="00226CC2" w:rsidRDefault="00226CC2" w:rsidP="005E3C59">
      <w:pPr>
        <w:ind w:left="426"/>
        <w:rPr>
          <w:rStyle w:val="Lienhypertexte"/>
          <w:rFonts w:ascii="Times New Roman" w:eastAsia="Times New Roman" w:hAnsi="Times New Roman" w:cs="Times New Roman"/>
          <w:sz w:val="24"/>
          <w:szCs w:val="24"/>
          <w:lang w:eastAsia="fr-FR"/>
        </w:rPr>
      </w:pPr>
      <w:r w:rsidRPr="009B5D41">
        <w:rPr>
          <w:lang w:eastAsia="fr-FR"/>
        </w:rPr>
        <w:t>Li</w:t>
      </w:r>
      <w:r w:rsidR="0058638A">
        <w:rPr>
          <w:lang w:eastAsia="fr-FR"/>
        </w:rPr>
        <w:t xml:space="preserve">re </w:t>
      </w:r>
      <w:r w:rsidRPr="009B5D41">
        <w:rPr>
          <w:lang w:eastAsia="fr-FR"/>
        </w:rPr>
        <w:t xml:space="preserve">également le communiqué de presse de la Coalition sur l'avis consultatif de la CEDH expliquant pourquoi cet avis n'est pas satisfaisant. </w:t>
      </w:r>
      <w:hyperlink r:id="rId15" w:history="1">
        <w:r w:rsidRPr="009B5D41">
          <w:rPr>
            <w:rStyle w:val="Lienhypertexte"/>
            <w:rFonts w:ascii="Times New Roman" w:eastAsia="Times New Roman" w:hAnsi="Times New Roman" w:cs="Times New Roman"/>
            <w:sz w:val="24"/>
            <w:szCs w:val="24"/>
            <w:lang w:eastAsia="fr-FR"/>
          </w:rPr>
          <w:t>http://abolition-ms.org/non-classe-fr/cp-avis-consultatif-de-la-cedh-sur-la-filiation-des-enfants-nes-par-gpa-a-letranger/</w:t>
        </w:r>
      </w:hyperlink>
    </w:p>
    <w:p w14:paraId="49BA609B" w14:textId="043C6DCF" w:rsidR="001D2AC3" w:rsidRPr="005E3C59" w:rsidRDefault="00AD46EB" w:rsidP="00CB784F">
      <w:pPr>
        <w:pStyle w:val="Titre2"/>
      </w:pPr>
      <w:bookmarkStart w:id="19" w:name="_Toc41571084"/>
      <w:bookmarkStart w:id="20" w:name="_Toc3133852"/>
      <w:r>
        <w:t>C</w:t>
      </w:r>
      <w:r w:rsidR="001D2AC3" w:rsidRPr="005E3C59">
        <w:t>our de Cassation France</w:t>
      </w:r>
      <w:r w:rsidR="005E3C59" w:rsidRPr="005E3C59">
        <w:t xml:space="preserve"> e</w:t>
      </w:r>
      <w:r w:rsidR="005E3C59">
        <w:t>t CEDH Action d’Arcilesbica</w:t>
      </w:r>
      <w:bookmarkEnd w:id="19"/>
    </w:p>
    <w:p w14:paraId="2021D3C4" w14:textId="07C41195" w:rsidR="005E3C59" w:rsidRDefault="005E3C59" w:rsidP="005E3C59">
      <w:pPr>
        <w:ind w:left="426"/>
      </w:pPr>
      <w:r>
        <w:t xml:space="preserve">L’association Arcilesbica s’est portée partie devant la Cour européenne des droits de l’homme, et ensuite devant la Cour de cassation, dans l’affaire de la reconnaissance de la filiation d’un parent d’intention d’enfants nés par GPA (affaire Mennesson). Ces actions sont les seules où une association de défense des droits des femmes ait tenté de faire connaître les violences subies, par contrat, par les mères porteuses. Et les deux instances ont déclaré irrecevable son intervention. </w:t>
      </w:r>
      <w:r>
        <w:rPr>
          <w:b/>
          <w:bCs/>
        </w:rPr>
        <w:t>Car l’accepter aurait conduit à analyser, sur le fond, ses observations, et constater la transgression du respect des droits humains des femmes et des enfants, sur laquelle repose la GPA.</w:t>
      </w:r>
    </w:p>
    <w:p w14:paraId="05D82626" w14:textId="653BFF34" w:rsidR="00C3394D" w:rsidRPr="00D02F7A" w:rsidRDefault="00C3394D" w:rsidP="005E3C59">
      <w:pPr>
        <w:pStyle w:val="Titre2"/>
      </w:pPr>
      <w:bookmarkStart w:id="21" w:name="_Toc41571085"/>
      <w:r w:rsidRPr="00D02F7A">
        <w:t>New York CSW63</w:t>
      </w:r>
      <w:bookmarkEnd w:id="20"/>
      <w:r w:rsidR="00CB784F" w:rsidRPr="00D02F7A">
        <w:t xml:space="preserve"> 2019</w:t>
      </w:r>
      <w:bookmarkEnd w:id="21"/>
    </w:p>
    <w:p w14:paraId="1076B54D" w14:textId="2161501D" w:rsidR="00C3394D" w:rsidRDefault="00C3394D" w:rsidP="00FC42E2">
      <w:pPr>
        <w:ind w:left="426"/>
      </w:pPr>
      <w:r w:rsidRPr="008C1F18">
        <w:t xml:space="preserve">Le Lobby </w:t>
      </w:r>
      <w:r>
        <w:t xml:space="preserve">suédois </w:t>
      </w:r>
      <w:r w:rsidRPr="008C1F18">
        <w:t>des femmes</w:t>
      </w:r>
      <w:r w:rsidR="00F47FE6">
        <w:t>,</w:t>
      </w:r>
      <w:r w:rsidR="003B443E">
        <w:t xml:space="preserve"> appuyé par la CIAMS, </w:t>
      </w:r>
      <w:r>
        <w:t>a</w:t>
      </w:r>
      <w:r w:rsidRPr="008C1F18">
        <w:t xml:space="preserve"> </w:t>
      </w:r>
      <w:r>
        <w:t>organisé une réunion lors de la NEW YORK CSW63 (Commission de la condition de la femme. 63</w:t>
      </w:r>
      <w:r w:rsidRPr="00CE3C82">
        <w:rPr>
          <w:vertAlign w:val="superscript"/>
        </w:rPr>
        <w:t>ième</w:t>
      </w:r>
      <w:r>
        <w:t xml:space="preserve"> session) avec Julien Boutembourg négociateur auprès de l'UE </w:t>
      </w:r>
      <w:r>
        <w:lastRenderedPageBreak/>
        <w:t>(responsable politique, Droits de l'homme et affaires sociales, délégation de l'UE auprès de l'ONU)</w:t>
      </w:r>
      <w:r w:rsidR="00F47FE6">
        <w:t xml:space="preserve">. Des </w:t>
      </w:r>
      <w:r w:rsidR="0088578F">
        <w:t xml:space="preserve">organisations </w:t>
      </w:r>
      <w:r w:rsidR="00F47FE6">
        <w:t>me</w:t>
      </w:r>
      <w:r w:rsidR="0088578F">
        <w:t>m</w:t>
      </w:r>
      <w:r w:rsidR="00F47FE6">
        <w:t>bres français</w:t>
      </w:r>
      <w:r w:rsidR="0088578F">
        <w:t xml:space="preserve">es </w:t>
      </w:r>
      <w:r w:rsidR="00F47FE6">
        <w:t>et es</w:t>
      </w:r>
      <w:r w:rsidR="0088578F">
        <w:t>p</w:t>
      </w:r>
      <w:r w:rsidR="00F47FE6">
        <w:t>agnol</w:t>
      </w:r>
      <w:r w:rsidR="0088578F">
        <w:t>e</w:t>
      </w:r>
      <w:r w:rsidR="00F47FE6">
        <w:t xml:space="preserve">s de la CIAMS y ont </w:t>
      </w:r>
      <w:r w:rsidR="0088578F">
        <w:t>p</w:t>
      </w:r>
      <w:r w:rsidR="00F47FE6">
        <w:t xml:space="preserve">articipé avec le lobby suédois des femmes. </w:t>
      </w:r>
    </w:p>
    <w:p w14:paraId="305B03C6" w14:textId="0CBC43C5" w:rsidR="00C3394D" w:rsidRPr="00CC25FE" w:rsidRDefault="00F47FE6" w:rsidP="00FC42E2">
      <w:pPr>
        <w:ind w:left="851" w:firstLine="2"/>
        <w:rPr>
          <w:i/>
        </w:rPr>
      </w:pPr>
      <w:r>
        <w:rPr>
          <w:i/>
          <w:lang w:eastAsia="fr-FR"/>
        </w:rPr>
        <w:t>Extrait du compte rendu « </w:t>
      </w:r>
      <w:r w:rsidR="00C3394D" w:rsidRPr="00CC25FE">
        <w:rPr>
          <w:i/>
          <w:lang w:eastAsia="fr-FR"/>
        </w:rPr>
        <w:t>Nous lui avons aussi demandé si la question de la GPA était</w:t>
      </w:r>
      <w:r w:rsidR="00C3394D" w:rsidRPr="00CC25FE">
        <w:rPr>
          <w:i/>
        </w:rPr>
        <w:t xml:space="preserve"> arrivée à la mission de l'UE et si elle était évoquée lors des discussions internationales et à l’ONU.</w:t>
      </w:r>
    </w:p>
    <w:p w14:paraId="2EAC9521" w14:textId="77777777" w:rsidR="00C3394D" w:rsidRPr="00CC25FE" w:rsidRDefault="00C3394D" w:rsidP="00FC42E2">
      <w:pPr>
        <w:ind w:left="851" w:firstLine="2"/>
        <w:rPr>
          <w:i/>
          <w:lang w:eastAsia="fr-FR"/>
        </w:rPr>
      </w:pPr>
      <w:r w:rsidRPr="00CC25FE">
        <w:rPr>
          <w:i/>
          <w:lang w:eastAsia="fr-FR"/>
        </w:rPr>
        <w:t xml:space="preserve">Il nous a répondu que nous étions loin de voir aborder cette question dans les “conclusions négociées » </w:t>
      </w:r>
    </w:p>
    <w:p w14:paraId="2DE1D06E" w14:textId="77777777" w:rsidR="00C3394D" w:rsidRPr="00CC25FE" w:rsidRDefault="00C3394D" w:rsidP="00FC42E2">
      <w:pPr>
        <w:ind w:left="851" w:firstLine="2"/>
        <w:rPr>
          <w:i/>
          <w:lang w:eastAsia="fr-FR"/>
        </w:rPr>
      </w:pPr>
      <w:r w:rsidRPr="00CC25FE">
        <w:rPr>
          <w:i/>
          <w:lang w:eastAsia="fr-FR"/>
        </w:rPr>
        <w:t>Il s’agit plutôt de défendre un langage et des droits très élémentaires.</w:t>
      </w:r>
    </w:p>
    <w:p w14:paraId="4B05E3B4" w14:textId="00DDFBD2" w:rsidR="00C3394D" w:rsidRPr="00CC25FE" w:rsidRDefault="00C3394D" w:rsidP="00FC42E2">
      <w:pPr>
        <w:ind w:left="851" w:firstLine="2"/>
        <w:rPr>
          <w:i/>
          <w:lang w:eastAsia="fr-FR"/>
        </w:rPr>
      </w:pPr>
      <w:r w:rsidRPr="00CC25FE">
        <w:rPr>
          <w:i/>
          <w:lang w:eastAsia="fr-FR"/>
        </w:rPr>
        <w:t xml:space="preserve">Il a également souligné qu’il n’y actuellement aucun pays demandant la légalisation de la GPA </w:t>
      </w:r>
      <w:r w:rsidR="00F47FE6">
        <w:rPr>
          <w:i/>
          <w:lang w:eastAsia="fr-FR"/>
        </w:rPr>
        <w:t>(</w:t>
      </w:r>
      <w:r w:rsidR="005E0302">
        <w:rPr>
          <w:i/>
          <w:lang w:eastAsia="fr-FR"/>
        </w:rPr>
        <w:t>N.B.</w:t>
      </w:r>
      <w:r w:rsidR="005E0302" w:rsidRPr="00F47FE6">
        <w:rPr>
          <w:iCs/>
          <w:lang w:eastAsia="fr-FR"/>
        </w:rPr>
        <w:t xml:space="preserve"> Depuis</w:t>
      </w:r>
      <w:r w:rsidR="00F47FE6" w:rsidRPr="00F47FE6">
        <w:rPr>
          <w:iCs/>
          <w:lang w:eastAsia="fr-FR"/>
        </w:rPr>
        <w:t xml:space="preserve"> la Serbie l’a </w:t>
      </w:r>
      <w:r w:rsidR="00F47FE6">
        <w:rPr>
          <w:iCs/>
          <w:lang w:eastAsia="fr-FR"/>
        </w:rPr>
        <w:t>légalisée</w:t>
      </w:r>
      <w:r w:rsidR="00162B79">
        <w:rPr>
          <w:iCs/>
          <w:lang w:eastAsia="fr-FR"/>
        </w:rPr>
        <w:t xml:space="preserve"> </w:t>
      </w:r>
      <w:r w:rsidR="00F47FE6" w:rsidRPr="00F47FE6">
        <w:rPr>
          <w:iCs/>
          <w:lang w:eastAsia="fr-FR"/>
        </w:rPr>
        <w:t xml:space="preserve">et les pressions sont fortes dans tous les pays) </w:t>
      </w:r>
      <w:r w:rsidRPr="00CC25FE">
        <w:rPr>
          <w:i/>
          <w:lang w:eastAsia="fr-FR"/>
        </w:rPr>
        <w:t xml:space="preserve">On a essayé de lui expliquer que le phénomène existe et se développe rapidement. L’Union Européenne doit donc defender et protéger les droits des femmes, tout particulièrement pour celles qui, avec la GPA, perdent l’accès à leurs droits </w:t>
      </w:r>
      <w:r w:rsidR="00F47FE6">
        <w:rPr>
          <w:i/>
          <w:lang w:eastAsia="fr-FR"/>
        </w:rPr>
        <w:t>« </w:t>
      </w:r>
    </w:p>
    <w:p w14:paraId="7D5DBEE4" w14:textId="0000490B" w:rsidR="00C3394D" w:rsidRPr="00CC25FE" w:rsidRDefault="00C3394D" w:rsidP="00FC42E2">
      <w:pPr>
        <w:ind w:left="851" w:firstLine="2"/>
        <w:rPr>
          <w:i/>
          <w:lang w:eastAsia="fr-FR"/>
        </w:rPr>
      </w:pPr>
      <w:r w:rsidRPr="00CC25FE">
        <w:rPr>
          <w:i/>
          <w:lang w:eastAsia="fr-FR"/>
        </w:rPr>
        <w:t>Nous pensons qu’il était important de créer ce contact et d’entamer le dialogue Après la réunion, nous lui avons adressé nos arguments et des informations.</w:t>
      </w:r>
    </w:p>
    <w:p w14:paraId="23C3FFE2" w14:textId="77777777" w:rsidR="00C3394D" w:rsidRPr="00CB784F" w:rsidRDefault="00C3394D" w:rsidP="00CB784F">
      <w:pPr>
        <w:pStyle w:val="Titre2"/>
      </w:pPr>
      <w:bookmarkStart w:id="22" w:name="_Toc5871057"/>
      <w:bookmarkStart w:id="23" w:name="_Toc41571086"/>
      <w:r w:rsidRPr="00CB784F">
        <w:t>Lettre à ONU FEMMES</w:t>
      </w:r>
      <w:bookmarkEnd w:id="22"/>
      <w:bookmarkEnd w:id="23"/>
    </w:p>
    <w:p w14:paraId="313C4E5B" w14:textId="72E9D7BB" w:rsidR="00C3394D" w:rsidRDefault="00C3394D" w:rsidP="00FC42E2">
      <w:pPr>
        <w:ind w:left="426"/>
      </w:pPr>
      <w:r>
        <w:rPr>
          <w:lang w:eastAsia="fr-FR"/>
        </w:rPr>
        <w:t xml:space="preserve">La Coalition a envoyé une lettre au Conseil d’Administration de ONU FEMMES </w:t>
      </w:r>
      <w:r w:rsidRPr="00087FE3">
        <w:rPr>
          <w:bCs/>
          <w:sz w:val="23"/>
          <w:szCs w:val="23"/>
        </w:rPr>
        <w:t xml:space="preserve">pour </w:t>
      </w:r>
      <w:r w:rsidR="00FC42E2">
        <w:rPr>
          <w:bCs/>
          <w:sz w:val="23"/>
          <w:szCs w:val="23"/>
        </w:rPr>
        <w:t xml:space="preserve">leur </w:t>
      </w:r>
      <w:r w:rsidRPr="00087FE3">
        <w:rPr>
          <w:bCs/>
          <w:sz w:val="23"/>
          <w:szCs w:val="23"/>
        </w:rPr>
        <w:t>demander</w:t>
      </w:r>
      <w:r>
        <w:t xml:space="preserve"> « d’entreprendre toutes les démarches nécessaires pour que l'Assemblée Générale des Nations Unies se prononce publiquement pour la prohibition mondiale de la gestation pour autrui (GPA) ». (Remerciements à Diane Guilbault de PDF Québec)</w:t>
      </w:r>
      <w:r w:rsidR="00F47FE6">
        <w:t>. Aucun retour.</w:t>
      </w:r>
    </w:p>
    <w:p w14:paraId="05A42218" w14:textId="77777777" w:rsidR="004246BA" w:rsidRPr="00CB784F" w:rsidRDefault="00775BD3" w:rsidP="00CB784F">
      <w:pPr>
        <w:pStyle w:val="Titre2"/>
      </w:pPr>
      <w:r>
        <w:t xml:space="preserve"> </w:t>
      </w:r>
      <w:bookmarkStart w:id="24" w:name="_Toc41571087"/>
      <w:r w:rsidR="004246BA" w:rsidRPr="00CB784F">
        <w:t xml:space="preserve">ONU </w:t>
      </w:r>
      <w:bookmarkStart w:id="25" w:name="_Toc11247952"/>
      <w:bookmarkStart w:id="26" w:name="_Toc11248100"/>
      <w:r w:rsidR="004246BA" w:rsidRPr="00CB784F">
        <w:t>Rapporteure spéciale sur la vente et l'exploitation sexuelle des enfants</w:t>
      </w:r>
      <w:bookmarkEnd w:id="24"/>
      <w:bookmarkEnd w:id="25"/>
      <w:bookmarkEnd w:id="26"/>
    </w:p>
    <w:p w14:paraId="51BF9AAD" w14:textId="7A25EFBD" w:rsidR="004246BA" w:rsidRDefault="004246BA" w:rsidP="00FC42E2">
      <w:pPr>
        <w:ind w:left="426"/>
      </w:pPr>
      <w:r>
        <w:t xml:space="preserve">La Rapporteure spéciale a lancé un appel à contribution </w:t>
      </w:r>
      <w:r w:rsidR="00F47FE6">
        <w:t>pour l’aider à « </w:t>
      </w:r>
      <w:r>
        <w:t>à obtenir des informations et à élaborer des recommandations détaillées sur les droits des enfants nés de contrats de maternité de substitution du point de vue de l'intérêt supérieur de l'enfant tel qu'il est énoncé dans la Charte internationale des droits des êtres humains</w:t>
      </w:r>
      <w:proofErr w:type="gramStart"/>
      <w:r>
        <w:t>.»</w:t>
      </w:r>
      <w:proofErr w:type="gramEnd"/>
      <w:r>
        <w:t>. La façon dont cet appel est rédigé mène directement à des recommandations de type réglementaires</w:t>
      </w:r>
    </w:p>
    <w:p w14:paraId="2EA7CD2B" w14:textId="656E8FF8" w:rsidR="00667DCD" w:rsidRPr="00572279" w:rsidRDefault="004246BA" w:rsidP="00FC42E2">
      <w:pPr>
        <w:ind w:left="426"/>
      </w:pPr>
      <w:r>
        <w:t>La Coalition a envoyé une contribution (Ana Luana Stoicea Deram), évitant ce piège, réaffirmant sa position : l’abolition de la maternité de substitution : 1- La maternité de substitution est intrinsèquement contraire aux droits de l'homme. 2. La manipulation et la commercialisation de l'état civil de l'enfant par des adultes qui en disposent sont contraires à l'intérêt supérieur de l'enfant.</w:t>
      </w:r>
      <w:r w:rsidR="00667DCD">
        <w:t xml:space="preserve"> </w:t>
      </w:r>
      <w:bookmarkStart w:id="27" w:name="_Toc18517874"/>
      <w:r w:rsidR="00667DCD" w:rsidRPr="00572279">
        <w:t xml:space="preserve">Malheureusement, ses conclusions finales proposent uniquement de développer des instances de régulation et garanties procédurales. Se référer au communiqué de presse émis par le CoRP qui analyse très bien sa conclusion </w:t>
      </w:r>
      <w:hyperlink r:id="rId16" w:history="1">
        <w:r w:rsidR="00667DCD" w:rsidRPr="00572279">
          <w:rPr>
            <w:color w:val="2828AA"/>
          </w:rPr>
          <w:t>https://collectif-corp.com/2019/08/24/communique-de-presse-3</w:t>
        </w:r>
        <w:r w:rsidR="00667DCD" w:rsidRPr="00572279">
          <w:t>/</w:t>
        </w:r>
      </w:hyperlink>
    </w:p>
    <w:p w14:paraId="22856476" w14:textId="77777777" w:rsidR="00161A43" w:rsidRDefault="00161A43" w:rsidP="00161A43">
      <w:pPr>
        <w:rPr>
          <w:rStyle w:val="Titre2Car"/>
        </w:rPr>
      </w:pPr>
      <w:bookmarkStart w:id="28" w:name="_Toc41571088"/>
      <w:bookmarkEnd w:id="27"/>
      <w:r>
        <w:rPr>
          <w:rStyle w:val="Titre2Car"/>
        </w:rPr>
        <w:t>GENEVE (réunion régionale du CEDAW du 28 au 30 octobre)</w:t>
      </w:r>
      <w:bookmarkEnd w:id="28"/>
    </w:p>
    <w:p w14:paraId="296FFD72" w14:textId="6CE1F81C" w:rsidR="00161A43" w:rsidRDefault="00262672" w:rsidP="00FC42E2">
      <w:pPr>
        <w:ind w:left="426"/>
        <w:rPr>
          <w:rStyle w:val="tlid-translation"/>
        </w:rPr>
      </w:pPr>
      <w:r>
        <w:rPr>
          <w:rStyle w:val="tlid-translation"/>
        </w:rPr>
        <w:t xml:space="preserve">Ana Luana et marie Josèphe Devillers ont </w:t>
      </w:r>
      <w:r w:rsidR="005E664C">
        <w:rPr>
          <w:rStyle w:val="tlid-translation"/>
        </w:rPr>
        <w:t xml:space="preserve">participé aux journées à </w:t>
      </w:r>
      <w:r>
        <w:rPr>
          <w:rStyle w:val="tlid-translation"/>
        </w:rPr>
        <w:t xml:space="preserve">la </w:t>
      </w:r>
      <w:r w:rsidR="00161A43">
        <w:rPr>
          <w:rStyle w:val="tlid-translation"/>
        </w:rPr>
        <w:t xml:space="preserve">réunion de la CEDAW à Genève </w:t>
      </w:r>
      <w:r>
        <w:rPr>
          <w:rStyle w:val="tlid-translation"/>
        </w:rPr>
        <w:t>ce qui a</w:t>
      </w:r>
      <w:r w:rsidR="005E664C">
        <w:rPr>
          <w:rStyle w:val="tlid-translation"/>
        </w:rPr>
        <w:t xml:space="preserve"> </w:t>
      </w:r>
      <w:r>
        <w:rPr>
          <w:rStyle w:val="tlid-translation"/>
        </w:rPr>
        <w:t xml:space="preserve">permis de prendre contact avec </w:t>
      </w:r>
      <w:r w:rsidR="00161A43">
        <w:rPr>
          <w:rStyle w:val="tlid-translation"/>
        </w:rPr>
        <w:t xml:space="preserve">Nicole Ameline, vice-présidente du comité CEDAW et Mme Dubravka Šimonovic, rapporteure spéciale des Nations Unies sur la violence contre les femmes, Delphine O ambassadrice et chargée de l'organisation du forum Génération Égalité (Beijing + </w:t>
      </w:r>
      <w:proofErr w:type="gramStart"/>
      <w:r w:rsidR="00161A43">
        <w:rPr>
          <w:rStyle w:val="tlid-translation"/>
        </w:rPr>
        <w:t>25 )</w:t>
      </w:r>
      <w:proofErr w:type="gramEnd"/>
      <w:r w:rsidR="00161A43">
        <w:rPr>
          <w:rStyle w:val="tlid-translation"/>
        </w:rPr>
        <w:t xml:space="preserve"> à Paris (</w:t>
      </w:r>
      <w:r>
        <w:rPr>
          <w:rStyle w:val="tlid-translation"/>
        </w:rPr>
        <w:t xml:space="preserve">prévu initialement en </w:t>
      </w:r>
      <w:r w:rsidR="00161A43">
        <w:rPr>
          <w:rStyle w:val="tlid-translation"/>
        </w:rPr>
        <w:t>juillet 2020</w:t>
      </w:r>
      <w:r>
        <w:rPr>
          <w:rStyle w:val="tlid-translation"/>
        </w:rPr>
        <w:t xml:space="preserve"> à Paris et r</w:t>
      </w:r>
      <w:r w:rsidR="00DF2DF8">
        <w:rPr>
          <w:rStyle w:val="tlid-translation"/>
        </w:rPr>
        <w:t>a</w:t>
      </w:r>
      <w:r>
        <w:rPr>
          <w:rStyle w:val="tlid-translation"/>
        </w:rPr>
        <w:t>pporté en 2021 en raison de la pa</w:t>
      </w:r>
      <w:r w:rsidR="00DF2DF8">
        <w:rPr>
          <w:rStyle w:val="tlid-translation"/>
        </w:rPr>
        <w:t>n</w:t>
      </w:r>
      <w:r>
        <w:rPr>
          <w:rStyle w:val="tlid-translation"/>
        </w:rPr>
        <w:t>démie</w:t>
      </w:r>
      <w:r w:rsidR="00161A43">
        <w:rPr>
          <w:rStyle w:val="tlid-translation"/>
        </w:rPr>
        <w:t>)</w:t>
      </w:r>
      <w:r w:rsidR="00DF2DF8">
        <w:rPr>
          <w:rStyle w:val="tlid-translation"/>
        </w:rPr>
        <w:t xml:space="preserve">. </w:t>
      </w:r>
    </w:p>
    <w:p w14:paraId="52BDA137" w14:textId="33F8483D" w:rsidR="00DF2DF8" w:rsidRDefault="0058638A" w:rsidP="00FC42E2">
      <w:pPr>
        <w:ind w:left="426"/>
        <w:rPr>
          <w:rStyle w:val="tlid-translation"/>
        </w:rPr>
      </w:pPr>
      <w:r>
        <w:rPr>
          <w:rStyle w:val="tlid-translation"/>
        </w:rPr>
        <w:t>La CIAMS a</w:t>
      </w:r>
      <w:r w:rsidR="00DF2DF8">
        <w:rPr>
          <w:rStyle w:val="tlid-translation"/>
        </w:rPr>
        <w:t xml:space="preserve"> aussi participé et particip</w:t>
      </w:r>
      <w:r>
        <w:rPr>
          <w:rStyle w:val="tlid-translation"/>
        </w:rPr>
        <w:t xml:space="preserve">e </w:t>
      </w:r>
      <w:r w:rsidR="00DF2DF8">
        <w:rPr>
          <w:rStyle w:val="tlid-translation"/>
        </w:rPr>
        <w:t xml:space="preserve">encore </w:t>
      </w:r>
      <w:r>
        <w:rPr>
          <w:rStyle w:val="tlid-translation"/>
        </w:rPr>
        <w:t>au groupe de travail</w:t>
      </w:r>
      <w:r w:rsidR="00DF2DF8">
        <w:rPr>
          <w:rStyle w:val="tlid-translation"/>
        </w:rPr>
        <w:t xml:space="preserve"> composé d’organisations féministes qui ont contesté le rapport fallacieux présenté comme émanant des ONG</w:t>
      </w:r>
      <w:r>
        <w:rPr>
          <w:rStyle w:val="tlid-translation"/>
        </w:rPr>
        <w:t xml:space="preserve"> et mettant en avant le travail du sexe.</w:t>
      </w:r>
    </w:p>
    <w:p w14:paraId="308BF906" w14:textId="3B6FCF72" w:rsidR="00775BD3" w:rsidRDefault="00CB784F" w:rsidP="00CB784F">
      <w:pPr>
        <w:pStyle w:val="Titre1"/>
      </w:pPr>
      <w:bookmarkStart w:id="29" w:name="_Toc41571089"/>
      <w:r>
        <w:lastRenderedPageBreak/>
        <w:t>Actions auprès des politiques</w:t>
      </w:r>
      <w:bookmarkEnd w:id="29"/>
    </w:p>
    <w:p w14:paraId="0D99EE76" w14:textId="1A6CC7E2" w:rsidR="00CB784F" w:rsidRPr="0058638A" w:rsidRDefault="00CB784F" w:rsidP="0058638A">
      <w:pPr>
        <w:pStyle w:val="Titre2"/>
      </w:pPr>
      <w:bookmarkStart w:id="30" w:name="_Toc11247954"/>
      <w:bookmarkStart w:id="31" w:name="_Toc11248102"/>
      <w:bookmarkStart w:id="32" w:name="_Toc41571090"/>
      <w:r w:rsidRPr="0058638A">
        <w:t>Campagne Interpellation des partis politiques sur la GPA</w:t>
      </w:r>
      <w:bookmarkEnd w:id="30"/>
      <w:bookmarkEnd w:id="31"/>
      <w:r w:rsidRPr="0058638A">
        <w:t xml:space="preserve"> à l’occa</w:t>
      </w:r>
      <w:r w:rsidR="00D878DA" w:rsidRPr="0058638A">
        <w:t>s</w:t>
      </w:r>
      <w:r w:rsidRPr="0058638A">
        <w:t>ion des élections europé</w:t>
      </w:r>
      <w:r w:rsidR="00D878DA" w:rsidRPr="0058638A">
        <w:t>e</w:t>
      </w:r>
      <w:r w:rsidRPr="0058638A">
        <w:t>nnes</w:t>
      </w:r>
      <w:r w:rsidR="0088578F" w:rsidRPr="0058638A">
        <w:t xml:space="preserve"> sous le titre </w:t>
      </w:r>
      <w:r w:rsidR="009E24E9" w:rsidRPr="0058638A">
        <w:t>« </w:t>
      </w:r>
      <w:r w:rsidR="0088578F" w:rsidRPr="0058638A">
        <w:t>Ne pas réglementer la GPA, mais l’abolir !</w:t>
      </w:r>
      <w:r w:rsidR="009E24E9" w:rsidRPr="0058638A">
        <w:t> »</w:t>
      </w:r>
      <w:bookmarkEnd w:id="32"/>
    </w:p>
    <w:p w14:paraId="655DE348" w14:textId="31DAB4B3" w:rsidR="00CB784F" w:rsidRDefault="00CB784F" w:rsidP="00FC42E2">
      <w:pPr>
        <w:ind w:left="426"/>
        <w:rPr>
          <w:rStyle w:val="tlid-translation"/>
        </w:rPr>
      </w:pPr>
      <w:r>
        <w:rPr>
          <w:rStyle w:val="tlid-translation"/>
        </w:rPr>
        <w:t>Des organisations espagnoles et italiennes ont déjà interrogé les partis politiques sur la maternité de substitution. L'organisation</w:t>
      </w:r>
      <w:proofErr w:type="gramStart"/>
      <w:r>
        <w:rPr>
          <w:rStyle w:val="tlid-translation"/>
        </w:rPr>
        <w:t xml:space="preserve"> «</w:t>
      </w:r>
      <w:r w:rsidRPr="00D72A0A">
        <w:rPr>
          <w:lang w:eastAsia="fr-FR"/>
        </w:rPr>
        <w:t>Comision</w:t>
      </w:r>
      <w:proofErr w:type="gramEnd"/>
      <w:r w:rsidRPr="00D72A0A">
        <w:rPr>
          <w:lang w:eastAsia="fr-FR"/>
        </w:rPr>
        <w:t xml:space="preserve"> para la investigacion de malos tratos a mujeres </w:t>
      </w:r>
      <w:r>
        <w:rPr>
          <w:lang w:eastAsia="fr-FR"/>
        </w:rPr>
        <w:t>–</w:t>
      </w:r>
      <w:r w:rsidRPr="00D72A0A">
        <w:rPr>
          <w:lang w:eastAsia="fr-FR"/>
        </w:rPr>
        <w:t xml:space="preserve"> </w:t>
      </w:r>
      <w:r>
        <w:rPr>
          <w:lang w:eastAsia="fr-FR"/>
        </w:rPr>
        <w:t>Espagne »</w:t>
      </w:r>
      <w:r>
        <w:rPr>
          <w:rStyle w:val="tlid-translation"/>
        </w:rPr>
        <w:t xml:space="preserve"> a choisi 8 thèmes sur lesquels se concentrer pour pouvoir interpeller les partis politiques par l'intermédiaire des membres de la Coalition dans différents pays européens.</w:t>
      </w:r>
    </w:p>
    <w:p w14:paraId="5DE526C2" w14:textId="77777777" w:rsidR="00CB784F" w:rsidRDefault="00CB784F" w:rsidP="00FC42E2">
      <w:pPr>
        <w:ind w:left="426"/>
        <w:rPr>
          <w:rStyle w:val="tlid-translation"/>
        </w:rPr>
      </w:pPr>
      <w:r>
        <w:rPr>
          <w:rStyle w:val="tlid-translation"/>
        </w:rPr>
        <w:t>Le</w:t>
      </w:r>
      <w:proofErr w:type="gramStart"/>
      <w:r>
        <w:rPr>
          <w:rStyle w:val="tlid-translation"/>
        </w:rPr>
        <w:t xml:space="preserve"> «Lobby</w:t>
      </w:r>
      <w:proofErr w:type="gramEnd"/>
      <w:r>
        <w:rPr>
          <w:rStyle w:val="tlid-translation"/>
        </w:rPr>
        <w:t xml:space="preserve"> suédois des femmes» en Suède, «Stopptleihmutterschaft» en Autriche, a relayé la campagne:</w:t>
      </w:r>
      <w:r>
        <w:br/>
      </w:r>
      <w:r>
        <w:rPr>
          <w:rStyle w:val="tlid-translation"/>
        </w:rPr>
        <w:t>««</w:t>
      </w:r>
      <w:r w:rsidRPr="00D72A0A">
        <w:rPr>
          <w:lang w:eastAsia="fr-FR"/>
        </w:rPr>
        <w:t xml:space="preserve">Comision para la investigacion de malos tratos a mujeres </w:t>
      </w:r>
      <w:r>
        <w:rPr>
          <w:lang w:eastAsia="fr-FR"/>
        </w:rPr>
        <w:t>–</w:t>
      </w:r>
      <w:r w:rsidRPr="00D72A0A">
        <w:rPr>
          <w:lang w:eastAsia="fr-FR"/>
        </w:rPr>
        <w:t xml:space="preserve"> </w:t>
      </w:r>
      <w:r>
        <w:rPr>
          <w:lang w:eastAsia="fr-FR"/>
        </w:rPr>
        <w:t>Espagne »</w:t>
      </w:r>
      <w:r>
        <w:rPr>
          <w:rStyle w:val="tlid-translation"/>
        </w:rPr>
        <w:t xml:space="preserve"> via Facebook.</w:t>
      </w:r>
    </w:p>
    <w:p w14:paraId="33D381C2" w14:textId="3CADB6BF" w:rsidR="00CB784F" w:rsidRDefault="00CB784F" w:rsidP="00FC42E2">
      <w:pPr>
        <w:ind w:left="426"/>
        <w:rPr>
          <w:rStyle w:val="tlid-translation"/>
        </w:rPr>
      </w:pPr>
      <w:r w:rsidRPr="00B030CE">
        <w:rPr>
          <w:rStyle w:val="tlid-translation"/>
          <w:b/>
          <w:bCs/>
        </w:rPr>
        <w:t xml:space="preserve">En </w:t>
      </w:r>
      <w:proofErr w:type="gramStart"/>
      <w:r w:rsidRPr="00B030CE">
        <w:rPr>
          <w:rStyle w:val="tlid-translation"/>
          <w:b/>
          <w:bCs/>
        </w:rPr>
        <w:t>Italie</w:t>
      </w:r>
      <w:r>
        <w:rPr>
          <w:rStyle w:val="tlid-translation"/>
        </w:rPr>
        <w:t>:</w:t>
      </w:r>
      <w:proofErr w:type="gramEnd"/>
      <w:r>
        <w:rPr>
          <w:rStyle w:val="tlid-translation"/>
        </w:rPr>
        <w:t xml:space="preserve"> A</w:t>
      </w:r>
      <w:r w:rsidR="005E0302">
        <w:rPr>
          <w:rStyle w:val="tlid-translation"/>
        </w:rPr>
        <w:t>r</w:t>
      </w:r>
      <w:r>
        <w:rPr>
          <w:rStyle w:val="tlid-translation"/>
        </w:rPr>
        <w:t xml:space="preserve">cilesbica, Se </w:t>
      </w:r>
      <w:r w:rsidR="005E0302">
        <w:rPr>
          <w:rStyle w:val="tlid-translation"/>
        </w:rPr>
        <w:t>N</w:t>
      </w:r>
      <w:r>
        <w:rPr>
          <w:rStyle w:val="tlid-translation"/>
        </w:rPr>
        <w:t xml:space="preserve">on </w:t>
      </w:r>
      <w:r w:rsidR="005E0302">
        <w:rPr>
          <w:rStyle w:val="tlid-translation"/>
        </w:rPr>
        <w:t>Ora</w:t>
      </w:r>
      <w:r>
        <w:rPr>
          <w:rStyle w:val="tlid-translation"/>
        </w:rPr>
        <w:t xml:space="preserve"> </w:t>
      </w:r>
      <w:proofErr w:type="spellStart"/>
      <w:r w:rsidR="005E0302">
        <w:rPr>
          <w:rStyle w:val="tlid-translation"/>
        </w:rPr>
        <w:t>Q</w:t>
      </w:r>
      <w:r>
        <w:rPr>
          <w:rStyle w:val="tlid-translation"/>
        </w:rPr>
        <w:t>uando</w:t>
      </w:r>
      <w:proofErr w:type="spellEnd"/>
      <w:r>
        <w:rPr>
          <w:rStyle w:val="tlid-translation"/>
        </w:rPr>
        <w:t xml:space="preserve"> ... </w:t>
      </w:r>
      <w:r w:rsidR="005E0302">
        <w:rPr>
          <w:rStyle w:val="tlid-translation"/>
        </w:rPr>
        <w:t>L</w:t>
      </w:r>
      <w:r>
        <w:rPr>
          <w:rStyle w:val="tlid-translation"/>
        </w:rPr>
        <w:t xml:space="preserve">ibere avec d'autres organisations ont créé un site spécifique à cet effet et ont obtenu des réponses positives de la part des futurs députés. </w:t>
      </w:r>
      <w:r w:rsidRPr="00D423D0">
        <w:t xml:space="preserve">. </w:t>
      </w:r>
      <w:hyperlink r:id="rId17" w:tgtFrame="_blank" w:history="1">
        <w:r>
          <w:rPr>
            <w:rStyle w:val="Lienhypertexte"/>
            <w:lang w:val="es-ES"/>
          </w:rPr>
          <w:t>CAMPAGNA NO GPA ELEZIONI EU 2019 – Campagna attivata da ICAMS e realizzata in Italia da diverse realtà femministe</w:t>
        </w:r>
      </w:hyperlink>
      <w:r w:rsidRPr="00D423D0">
        <w:rPr>
          <w:lang w:val="es-ES"/>
        </w:rPr>
        <w:t>.</w:t>
      </w:r>
      <w:r w:rsidR="00171950">
        <w:rPr>
          <w:lang w:val="es-ES"/>
        </w:rPr>
        <w:t xml:space="preserve"> </w:t>
      </w:r>
      <w:r w:rsidR="00171950" w:rsidRPr="00171950">
        <w:t>(</w:t>
      </w:r>
      <w:r w:rsidR="005E0302">
        <w:t>réf.</w:t>
      </w:r>
      <w:r w:rsidR="00171950">
        <w:t xml:space="preserve"> </w:t>
      </w:r>
      <w:proofErr w:type="gramStart"/>
      <w:r w:rsidR="00171950">
        <w:t>expirée )</w:t>
      </w:r>
      <w:proofErr w:type="gramEnd"/>
      <w:r w:rsidRPr="00171950">
        <w:br/>
      </w:r>
      <w:r>
        <w:rPr>
          <w:rStyle w:val="tlid-translation"/>
        </w:rPr>
        <w:t xml:space="preserve">En France: la Coalition, associée à ses membres français et à d'autres organisations proches, a pris contact avec les partis candidats (identifiés comme étant en faveur des droits de l'homme) et a relayé la campagne </w:t>
      </w:r>
      <w:hyperlink r:id="rId18" w:history="1">
        <w:r w:rsidR="009E24E9">
          <w:rPr>
            <w:rStyle w:val="Lienhypertexte"/>
          </w:rPr>
          <w:t>http://abolition-ms.org/nos-actions-fr/requete-adressee-aux-partis-candidats-aux-elections-europeennes-2019/</w:t>
        </w:r>
      </w:hyperlink>
    </w:p>
    <w:p w14:paraId="5D4D9B1F" w14:textId="77777777" w:rsidR="00CB784F" w:rsidRDefault="00CB784F"/>
    <w:p w14:paraId="6B38F0D5" w14:textId="6D541FE9" w:rsidR="00161A43" w:rsidRDefault="00161A43" w:rsidP="00161A43">
      <w:pPr>
        <w:pStyle w:val="Titre1"/>
      </w:pPr>
      <w:bookmarkStart w:id="33" w:name="_Toc41571091"/>
      <w:r>
        <w:rPr>
          <w:rStyle w:val="tlid-translation"/>
        </w:rPr>
        <w:t>Publication</w:t>
      </w:r>
      <w:bookmarkEnd w:id="33"/>
    </w:p>
    <w:p w14:paraId="2728391C" w14:textId="77777777" w:rsidR="00541CB6" w:rsidRDefault="00541CB6" w:rsidP="00541CB6">
      <w:pPr>
        <w:pStyle w:val="Titre2"/>
        <w:rPr>
          <w:rStyle w:val="tlid-translation"/>
        </w:rPr>
      </w:pPr>
      <w:bookmarkStart w:id="34" w:name="_Toc41571092"/>
      <w:r>
        <w:rPr>
          <w:rStyle w:val="tlid-translation"/>
        </w:rPr>
        <w:t>Actes du colloque 2018</w:t>
      </w:r>
      <w:bookmarkEnd w:id="34"/>
      <w:r>
        <w:rPr>
          <w:rStyle w:val="tlid-translation"/>
        </w:rPr>
        <w:t xml:space="preserve"> </w:t>
      </w:r>
    </w:p>
    <w:p w14:paraId="26E0ABF2" w14:textId="0AC73039" w:rsidR="002C0275" w:rsidRDefault="00161A43" w:rsidP="00541CB6">
      <w:pPr>
        <w:ind w:left="360"/>
        <w:rPr>
          <w:rStyle w:val="tlid-translation"/>
        </w:rPr>
      </w:pPr>
      <w:r>
        <w:rPr>
          <w:rStyle w:val="tlid-translation"/>
        </w:rPr>
        <w:t>Nous sommes parvenus à publier le</w:t>
      </w:r>
      <w:r w:rsidR="009E24E9">
        <w:rPr>
          <w:rStyle w:val="tlid-translation"/>
        </w:rPr>
        <w:t xml:space="preserve">s Actes du colloque </w:t>
      </w:r>
      <w:r>
        <w:rPr>
          <w:rStyle w:val="tlid-translation"/>
        </w:rPr>
        <w:t xml:space="preserve">du 28 septembre 2018 au Palais du </w:t>
      </w:r>
      <w:r w:rsidR="009E24E9">
        <w:rPr>
          <w:rStyle w:val="tlid-translation"/>
        </w:rPr>
        <w:t xml:space="preserve">Luxembourg </w:t>
      </w:r>
      <w:r>
        <w:rPr>
          <w:rStyle w:val="tlid-translation"/>
        </w:rPr>
        <w:t>: pour le respect des femmes et des enfants, abolir la maternité de substitution</w:t>
      </w:r>
      <w:r w:rsidR="002C0275">
        <w:rPr>
          <w:rStyle w:val="tlid-translation"/>
        </w:rPr>
        <w:t xml:space="preserve">. </w:t>
      </w:r>
      <w:r w:rsidR="002C0275" w:rsidRPr="002C0275">
        <w:rPr>
          <w:rStyle w:val="tlid-translation"/>
        </w:rPr>
        <w:t xml:space="preserve">« POUR LE RESPECT DES FEMMES ET DES ENFANTS, </w:t>
      </w:r>
      <w:r w:rsidR="009E24E9">
        <w:rPr>
          <w:rStyle w:val="tlid-translation"/>
        </w:rPr>
        <w:t>ABOLIR LA %ATERNITE DE SUBSTITUTION</w:t>
      </w:r>
      <w:r w:rsidR="00541CB6">
        <w:rPr>
          <w:rStyle w:val="tlid-translation"/>
        </w:rPr>
        <w:t> »</w:t>
      </w:r>
      <w:r w:rsidR="009E24E9">
        <w:rPr>
          <w:rStyle w:val="tlid-translation"/>
        </w:rPr>
        <w:t> </w:t>
      </w:r>
    </w:p>
    <w:p w14:paraId="1691B5C1" w14:textId="2024C834" w:rsidR="00541CB6" w:rsidRPr="002C0275" w:rsidRDefault="00541CB6" w:rsidP="00541CB6">
      <w:pPr>
        <w:pStyle w:val="Titre2"/>
        <w:rPr>
          <w:rStyle w:val="tlid-translation"/>
        </w:rPr>
      </w:pPr>
      <w:bookmarkStart w:id="35" w:name="_Toc41571093"/>
      <w:r>
        <w:rPr>
          <w:rStyle w:val="tlid-translation"/>
        </w:rPr>
        <w:t>Tribunes</w:t>
      </w:r>
      <w:bookmarkEnd w:id="35"/>
    </w:p>
    <w:p w14:paraId="4F70905D" w14:textId="66533C74" w:rsidR="009E24E9" w:rsidRDefault="009E24E9" w:rsidP="00FC42E2">
      <w:pPr>
        <w:pStyle w:val="Paragraphedeliste"/>
        <w:ind w:left="426"/>
        <w:rPr>
          <w:rStyle w:val="tlid-translation"/>
        </w:rPr>
      </w:pPr>
      <w:r>
        <w:rPr>
          <w:rStyle w:val="tlid-translation"/>
        </w:rPr>
        <w:t xml:space="preserve">Tribunes : </w:t>
      </w:r>
      <w:hyperlink r:id="rId19" w:history="1">
        <w:r w:rsidR="00541CB6">
          <w:rPr>
            <w:rStyle w:val="Lienhypertexte"/>
          </w:rPr>
          <w:t>http://abolition-ms.org/actualites/pour-eradiquer-les-violences-contre-les-femmes-il-faut-abolir-le-systeme-patriarcal/</w:t>
        </w:r>
      </w:hyperlink>
    </w:p>
    <w:p w14:paraId="01C0E6AE" w14:textId="77777777" w:rsidR="009E24E9" w:rsidRDefault="009E24E9" w:rsidP="00FC42E2">
      <w:pPr>
        <w:pStyle w:val="Paragraphedeliste"/>
      </w:pPr>
    </w:p>
    <w:p w14:paraId="1DE9DB86" w14:textId="2F363FE9" w:rsidR="00CF1D9E" w:rsidRDefault="00CF1D9E" w:rsidP="002B7168">
      <w:pPr>
        <w:pStyle w:val="Titre1"/>
      </w:pPr>
      <w:bookmarkStart w:id="36" w:name="_Toc41571094"/>
      <w:r>
        <w:t>Fonctionnement</w:t>
      </w:r>
      <w:bookmarkEnd w:id="36"/>
      <w:r>
        <w:t xml:space="preserve"> </w:t>
      </w:r>
    </w:p>
    <w:p w14:paraId="47ECA83A" w14:textId="4F3EA6BC" w:rsidR="00CF1D9E" w:rsidRDefault="002B7168" w:rsidP="004C20AD">
      <w:pPr>
        <w:ind w:left="426"/>
      </w:pPr>
      <w:r>
        <w:t>Demande de subvention conseillée par le lobby suédois des femmes, répons négative.</w:t>
      </w:r>
    </w:p>
    <w:p w14:paraId="318F5303" w14:textId="53688EEC" w:rsidR="00541CB6" w:rsidRDefault="00541CB6" w:rsidP="004C20AD">
      <w:pPr>
        <w:ind w:left="426"/>
      </w:pPr>
      <w:r>
        <w:t xml:space="preserve">La </w:t>
      </w:r>
      <w:r w:rsidR="0058638A">
        <w:t>C</w:t>
      </w:r>
      <w:r>
        <w:t>IAMS a été admise à utiliser un espace de travail au sein de la Cité de L’égalité à Paris.</w:t>
      </w:r>
    </w:p>
    <w:sectPr w:rsidR="00541CB6" w:rsidSect="008B17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166F6"/>
    <w:multiLevelType w:val="hybridMultilevel"/>
    <w:tmpl w:val="4EF6C00E"/>
    <w:lvl w:ilvl="0" w:tplc="E720615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44D01479"/>
    <w:multiLevelType w:val="hybridMultilevel"/>
    <w:tmpl w:val="3E56E5AE"/>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 w15:restartNumberingAfterBreak="0">
    <w:nsid w:val="4BE71849"/>
    <w:multiLevelType w:val="hybridMultilevel"/>
    <w:tmpl w:val="80C45C0A"/>
    <w:lvl w:ilvl="0" w:tplc="8B0A86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6A480900"/>
    <w:multiLevelType w:val="hybridMultilevel"/>
    <w:tmpl w:val="DF16CE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7971E6"/>
    <w:multiLevelType w:val="multilevel"/>
    <w:tmpl w:val="9C9A5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6829D5"/>
    <w:multiLevelType w:val="multilevel"/>
    <w:tmpl w:val="0C4AE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8A1D67"/>
    <w:multiLevelType w:val="hybridMultilevel"/>
    <w:tmpl w:val="287CA7CA"/>
    <w:lvl w:ilvl="0" w:tplc="D160EEC2">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2667B8D"/>
    <w:multiLevelType w:val="hybridMultilevel"/>
    <w:tmpl w:val="6C382E0C"/>
    <w:lvl w:ilvl="0" w:tplc="040C0001">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8" w15:restartNumberingAfterBreak="0">
    <w:nsid w:val="72F50438"/>
    <w:multiLevelType w:val="hybridMultilevel"/>
    <w:tmpl w:val="7EB8E8DA"/>
    <w:lvl w:ilvl="0" w:tplc="8EC81BF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74E84199"/>
    <w:multiLevelType w:val="hybridMultilevel"/>
    <w:tmpl w:val="77242D4A"/>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7F3D2241"/>
    <w:multiLevelType w:val="multilevel"/>
    <w:tmpl w:val="ADB80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8"/>
  </w:num>
  <w:num w:numId="6">
    <w:abstractNumId w:val="4"/>
  </w:num>
  <w:num w:numId="7">
    <w:abstractNumId w:val="10"/>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0712F"/>
    <w:rsid w:val="00027149"/>
    <w:rsid w:val="0003431D"/>
    <w:rsid w:val="000E6E17"/>
    <w:rsid w:val="0014464E"/>
    <w:rsid w:val="00161A43"/>
    <w:rsid w:val="00162B79"/>
    <w:rsid w:val="00171950"/>
    <w:rsid w:val="001832F3"/>
    <w:rsid w:val="001D2AC3"/>
    <w:rsid w:val="001F46E9"/>
    <w:rsid w:val="00226CC2"/>
    <w:rsid w:val="00262672"/>
    <w:rsid w:val="00277059"/>
    <w:rsid w:val="002943C7"/>
    <w:rsid w:val="002B7168"/>
    <w:rsid w:val="002C0275"/>
    <w:rsid w:val="003B443E"/>
    <w:rsid w:val="003C4164"/>
    <w:rsid w:val="003D3160"/>
    <w:rsid w:val="00414E5C"/>
    <w:rsid w:val="004246BA"/>
    <w:rsid w:val="00490D5A"/>
    <w:rsid w:val="004A34AA"/>
    <w:rsid w:val="004A34B1"/>
    <w:rsid w:val="004C20AD"/>
    <w:rsid w:val="00541CB6"/>
    <w:rsid w:val="0055574B"/>
    <w:rsid w:val="0058638A"/>
    <w:rsid w:val="005E0302"/>
    <w:rsid w:val="005E3C59"/>
    <w:rsid w:val="005E664C"/>
    <w:rsid w:val="00622F5B"/>
    <w:rsid w:val="00667DCD"/>
    <w:rsid w:val="006B5FD8"/>
    <w:rsid w:val="00743CE5"/>
    <w:rsid w:val="00775BD3"/>
    <w:rsid w:val="007D597F"/>
    <w:rsid w:val="0088578F"/>
    <w:rsid w:val="008B175C"/>
    <w:rsid w:val="009168F6"/>
    <w:rsid w:val="009507E9"/>
    <w:rsid w:val="009539D5"/>
    <w:rsid w:val="009A17C2"/>
    <w:rsid w:val="009E24E9"/>
    <w:rsid w:val="00A00743"/>
    <w:rsid w:val="00A03BCA"/>
    <w:rsid w:val="00A04931"/>
    <w:rsid w:val="00AC0483"/>
    <w:rsid w:val="00AC77FF"/>
    <w:rsid w:val="00AD46EB"/>
    <w:rsid w:val="00B042ED"/>
    <w:rsid w:val="00B1365D"/>
    <w:rsid w:val="00B75379"/>
    <w:rsid w:val="00BB3565"/>
    <w:rsid w:val="00C30749"/>
    <w:rsid w:val="00C3394D"/>
    <w:rsid w:val="00CB784F"/>
    <w:rsid w:val="00CF1D9E"/>
    <w:rsid w:val="00D02F7A"/>
    <w:rsid w:val="00D65D5F"/>
    <w:rsid w:val="00D878DA"/>
    <w:rsid w:val="00DF2DF8"/>
    <w:rsid w:val="00E303E8"/>
    <w:rsid w:val="00E754DC"/>
    <w:rsid w:val="00EE7224"/>
    <w:rsid w:val="00F02BC3"/>
    <w:rsid w:val="00F47FE6"/>
    <w:rsid w:val="00FC2262"/>
    <w:rsid w:val="00FC42E2"/>
    <w:rsid w:val="00FD4224"/>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FF0"/>
  <w15:chartTrackingRefBased/>
  <w15:docId w15:val="{307150C3-0F8A-4ED1-A05E-D9D70D9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3565"/>
    <w:pPr>
      <w:keepNext/>
      <w:keepLines/>
      <w:pBdr>
        <w:top w:val="single" w:sz="4" w:space="1" w:color="008000"/>
        <w:left w:val="single" w:sz="4" w:space="4" w:color="008000"/>
        <w:bottom w:val="single" w:sz="4" w:space="1" w:color="008000"/>
        <w:right w:val="single" w:sz="4" w:space="4" w:color="008000"/>
      </w:pBdr>
      <w:shd w:val="clear" w:color="auto" w:fill="008000"/>
      <w:spacing w:before="240" w:after="240"/>
      <w:jc w:val="center"/>
      <w:outlineLvl w:val="0"/>
    </w:pPr>
    <w:rPr>
      <w:rFonts w:ascii="Arial" w:eastAsiaTheme="majorEastAsia" w:hAnsi="Arial" w:cstheme="majorBidi"/>
      <w:b/>
      <w:color w:val="FFFFFF" w:themeColor="background1"/>
      <w:sz w:val="28"/>
      <w:szCs w:val="32"/>
    </w:rPr>
  </w:style>
  <w:style w:type="paragraph" w:styleId="Titre2">
    <w:name w:val="heading 2"/>
    <w:basedOn w:val="Normal"/>
    <w:next w:val="Normal"/>
    <w:link w:val="Titre2Car"/>
    <w:uiPriority w:val="9"/>
    <w:unhideWhenUsed/>
    <w:qFormat/>
    <w:rsid w:val="008B175C"/>
    <w:pPr>
      <w:keepNext/>
      <w:keepLines/>
      <w:spacing w:before="120" w:after="120"/>
      <w:outlineLvl w:val="1"/>
    </w:pPr>
    <w:rPr>
      <w:rFonts w:asciiTheme="majorHAnsi" w:eastAsiaTheme="majorEastAsia" w:hAnsiTheme="majorHAnsi" w:cstheme="majorBidi"/>
      <w:b/>
      <w:color w:val="008000"/>
      <w:sz w:val="26"/>
      <w:szCs w:val="26"/>
    </w:rPr>
  </w:style>
  <w:style w:type="paragraph" w:styleId="Titre3">
    <w:name w:val="heading 3"/>
    <w:basedOn w:val="Normal"/>
    <w:next w:val="Normal"/>
    <w:link w:val="Titre3Car"/>
    <w:uiPriority w:val="9"/>
    <w:unhideWhenUsed/>
    <w:qFormat/>
    <w:rsid w:val="00CF1D9E"/>
    <w:pPr>
      <w:keepNext/>
      <w:keepLines/>
      <w:spacing w:before="40" w:after="0"/>
      <w:outlineLvl w:val="2"/>
    </w:pPr>
    <w:rPr>
      <w:rFonts w:asciiTheme="majorHAnsi" w:eastAsiaTheme="majorEastAsia" w:hAnsiTheme="majorHAnsi" w:cstheme="majorBidi"/>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565"/>
    <w:rPr>
      <w:rFonts w:ascii="Arial" w:eastAsiaTheme="majorEastAsia" w:hAnsi="Arial" w:cstheme="majorBidi"/>
      <w:b/>
      <w:color w:val="FFFFFF" w:themeColor="background1"/>
      <w:sz w:val="28"/>
      <w:szCs w:val="32"/>
      <w:shd w:val="clear" w:color="auto" w:fill="008000"/>
    </w:rPr>
  </w:style>
  <w:style w:type="paragraph" w:styleId="Paragraphedeliste">
    <w:name w:val="List Paragraph"/>
    <w:basedOn w:val="Normal"/>
    <w:uiPriority w:val="34"/>
    <w:qFormat/>
    <w:rsid w:val="00A00743"/>
    <w:pPr>
      <w:ind w:left="720"/>
      <w:contextualSpacing/>
    </w:pPr>
  </w:style>
  <w:style w:type="character" w:customStyle="1" w:styleId="Titre2Car">
    <w:name w:val="Titre 2 Car"/>
    <w:basedOn w:val="Policepardfaut"/>
    <w:link w:val="Titre2"/>
    <w:uiPriority w:val="9"/>
    <w:qFormat/>
    <w:rsid w:val="008B175C"/>
    <w:rPr>
      <w:rFonts w:asciiTheme="majorHAnsi" w:eastAsiaTheme="majorEastAsia" w:hAnsiTheme="majorHAnsi" w:cstheme="majorBidi"/>
      <w:b/>
      <w:color w:val="008000"/>
      <w:sz w:val="26"/>
      <w:szCs w:val="26"/>
    </w:rPr>
  </w:style>
  <w:style w:type="character" w:styleId="Lienhypertexte">
    <w:name w:val="Hyperlink"/>
    <w:basedOn w:val="Policepardfaut"/>
    <w:uiPriority w:val="99"/>
    <w:unhideWhenUsed/>
    <w:rsid w:val="004246BA"/>
    <w:rPr>
      <w:color w:val="0563C1" w:themeColor="hyperlink"/>
      <w:u w:val="single"/>
    </w:rPr>
  </w:style>
  <w:style w:type="character" w:customStyle="1" w:styleId="tlid-translation">
    <w:name w:val="tlid-translation"/>
    <w:basedOn w:val="Policepardfaut"/>
    <w:qFormat/>
    <w:rsid w:val="00CB784F"/>
  </w:style>
  <w:style w:type="character" w:styleId="Mentionnonrsolue">
    <w:name w:val="Unresolved Mention"/>
    <w:basedOn w:val="Policepardfaut"/>
    <w:uiPriority w:val="99"/>
    <w:semiHidden/>
    <w:unhideWhenUsed/>
    <w:rsid w:val="00CB784F"/>
    <w:rPr>
      <w:color w:val="605E5C"/>
      <w:shd w:val="clear" w:color="auto" w:fill="E1DFDD"/>
    </w:rPr>
  </w:style>
  <w:style w:type="paragraph" w:styleId="En-ttedetabledesmatires">
    <w:name w:val="TOC Heading"/>
    <w:basedOn w:val="Titre1"/>
    <w:next w:val="Normal"/>
    <w:uiPriority w:val="39"/>
    <w:unhideWhenUsed/>
    <w:qFormat/>
    <w:rsid w:val="00226CC2"/>
    <w:pPr>
      <w:spacing w:after="0"/>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226CC2"/>
    <w:pPr>
      <w:spacing w:after="100"/>
    </w:pPr>
  </w:style>
  <w:style w:type="paragraph" w:styleId="TM2">
    <w:name w:val="toc 2"/>
    <w:basedOn w:val="Normal"/>
    <w:next w:val="Normal"/>
    <w:autoRedefine/>
    <w:uiPriority w:val="39"/>
    <w:unhideWhenUsed/>
    <w:rsid w:val="00226CC2"/>
    <w:pPr>
      <w:spacing w:after="100"/>
      <w:ind w:left="220"/>
    </w:pPr>
  </w:style>
  <w:style w:type="character" w:customStyle="1" w:styleId="Titre3Car">
    <w:name w:val="Titre 3 Car"/>
    <w:basedOn w:val="Policepardfaut"/>
    <w:link w:val="Titre3"/>
    <w:uiPriority w:val="9"/>
    <w:rsid w:val="00CF1D9E"/>
    <w:rPr>
      <w:rFonts w:asciiTheme="majorHAnsi" w:eastAsiaTheme="majorEastAsia" w:hAnsiTheme="majorHAnsi" w:cstheme="majorBidi"/>
      <w:color w:val="2F5496" w:themeColor="accent1" w:themeShade="BF"/>
      <w:sz w:val="24"/>
      <w:szCs w:val="24"/>
    </w:rPr>
  </w:style>
  <w:style w:type="character" w:styleId="Lienhypertextesuivivisit">
    <w:name w:val="FollowedHyperlink"/>
    <w:basedOn w:val="Policepardfaut"/>
    <w:uiPriority w:val="99"/>
    <w:semiHidden/>
    <w:unhideWhenUsed/>
    <w:rsid w:val="009539D5"/>
    <w:rPr>
      <w:color w:val="954F72" w:themeColor="followedHyperlink"/>
      <w:u w:val="single"/>
    </w:rPr>
  </w:style>
  <w:style w:type="paragraph" w:styleId="Titre">
    <w:name w:val="Title"/>
    <w:basedOn w:val="Normal"/>
    <w:next w:val="Normal"/>
    <w:link w:val="TitreCar"/>
    <w:uiPriority w:val="10"/>
    <w:qFormat/>
    <w:rsid w:val="008B175C"/>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reCar">
    <w:name w:val="Titre Car"/>
    <w:basedOn w:val="Policepardfaut"/>
    <w:link w:val="Titre"/>
    <w:uiPriority w:val="10"/>
    <w:rsid w:val="008B175C"/>
    <w:rPr>
      <w:rFonts w:asciiTheme="majorHAnsi" w:eastAsiaTheme="majorEastAsia" w:hAnsiTheme="majorHAnsi" w:cstheme="majorBidi"/>
      <w:b/>
      <w:spacing w:val="-10"/>
      <w:kern w:val="28"/>
      <w:sz w:val="48"/>
      <w:szCs w:val="56"/>
    </w:rPr>
  </w:style>
  <w:style w:type="paragraph" w:customStyle="1" w:styleId="Standard">
    <w:name w:val="Standard"/>
    <w:rsid w:val="005E3C5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2735">
      <w:bodyDiv w:val="1"/>
      <w:marLeft w:val="0"/>
      <w:marRight w:val="0"/>
      <w:marTop w:val="0"/>
      <w:marBottom w:val="0"/>
      <w:divBdr>
        <w:top w:val="none" w:sz="0" w:space="0" w:color="auto"/>
        <w:left w:val="none" w:sz="0" w:space="0" w:color="auto"/>
        <w:bottom w:val="none" w:sz="0" w:space="0" w:color="auto"/>
        <w:right w:val="none" w:sz="0" w:space="0" w:color="auto"/>
      </w:divBdr>
      <w:divsChild>
        <w:div w:id="1472209384">
          <w:marLeft w:val="0"/>
          <w:marRight w:val="0"/>
          <w:marTop w:val="0"/>
          <w:marBottom w:val="0"/>
          <w:divBdr>
            <w:top w:val="none" w:sz="0" w:space="0" w:color="auto"/>
            <w:left w:val="none" w:sz="0" w:space="0" w:color="auto"/>
            <w:bottom w:val="none" w:sz="0" w:space="0" w:color="auto"/>
            <w:right w:val="none" w:sz="0" w:space="0" w:color="auto"/>
          </w:divBdr>
        </w:div>
        <w:div w:id="1179466276">
          <w:marLeft w:val="0"/>
          <w:marRight w:val="0"/>
          <w:marTop w:val="0"/>
          <w:marBottom w:val="0"/>
          <w:divBdr>
            <w:top w:val="none" w:sz="0" w:space="0" w:color="auto"/>
            <w:left w:val="none" w:sz="0" w:space="0" w:color="auto"/>
            <w:bottom w:val="none" w:sz="0" w:space="0" w:color="auto"/>
            <w:right w:val="none" w:sz="0" w:space="0" w:color="auto"/>
          </w:divBdr>
        </w:div>
        <w:div w:id="41293109">
          <w:marLeft w:val="0"/>
          <w:marRight w:val="0"/>
          <w:marTop w:val="0"/>
          <w:marBottom w:val="0"/>
          <w:divBdr>
            <w:top w:val="none" w:sz="0" w:space="0" w:color="auto"/>
            <w:left w:val="none" w:sz="0" w:space="0" w:color="auto"/>
            <w:bottom w:val="none" w:sz="0" w:space="0" w:color="auto"/>
            <w:right w:val="none" w:sz="0" w:space="0" w:color="auto"/>
          </w:divBdr>
        </w:div>
      </w:divsChild>
    </w:div>
    <w:div w:id="838420358">
      <w:bodyDiv w:val="1"/>
      <w:marLeft w:val="0"/>
      <w:marRight w:val="0"/>
      <w:marTop w:val="0"/>
      <w:marBottom w:val="0"/>
      <w:divBdr>
        <w:top w:val="none" w:sz="0" w:space="0" w:color="auto"/>
        <w:left w:val="none" w:sz="0" w:space="0" w:color="auto"/>
        <w:bottom w:val="none" w:sz="0" w:space="0" w:color="auto"/>
        <w:right w:val="none" w:sz="0" w:space="0" w:color="auto"/>
      </w:divBdr>
      <w:divsChild>
        <w:div w:id="1526796000">
          <w:marLeft w:val="0"/>
          <w:marRight w:val="0"/>
          <w:marTop w:val="0"/>
          <w:marBottom w:val="0"/>
          <w:divBdr>
            <w:top w:val="none" w:sz="0" w:space="0" w:color="auto"/>
            <w:left w:val="none" w:sz="0" w:space="0" w:color="auto"/>
            <w:bottom w:val="none" w:sz="0" w:space="0" w:color="auto"/>
            <w:right w:val="none" w:sz="0" w:space="0" w:color="auto"/>
          </w:divBdr>
        </w:div>
        <w:div w:id="850266472">
          <w:marLeft w:val="0"/>
          <w:marRight w:val="0"/>
          <w:marTop w:val="0"/>
          <w:marBottom w:val="0"/>
          <w:divBdr>
            <w:top w:val="none" w:sz="0" w:space="0" w:color="auto"/>
            <w:left w:val="none" w:sz="0" w:space="0" w:color="auto"/>
            <w:bottom w:val="none" w:sz="0" w:space="0" w:color="auto"/>
            <w:right w:val="none" w:sz="0" w:space="0" w:color="auto"/>
          </w:divBdr>
        </w:div>
        <w:div w:id="1744520288">
          <w:marLeft w:val="0"/>
          <w:marRight w:val="0"/>
          <w:marTop w:val="0"/>
          <w:marBottom w:val="0"/>
          <w:divBdr>
            <w:top w:val="none" w:sz="0" w:space="0" w:color="auto"/>
            <w:left w:val="none" w:sz="0" w:space="0" w:color="auto"/>
            <w:bottom w:val="none" w:sz="0" w:space="0" w:color="auto"/>
            <w:right w:val="none" w:sz="0" w:space="0" w:color="auto"/>
          </w:divBdr>
        </w:div>
      </w:divsChild>
    </w:div>
    <w:div w:id="15355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actualites/plus-belle-la-vie-oui-mais-sans-gpa-communique-de-presse/" TargetMode="External"/><Relationship Id="rId13" Type="http://schemas.openxmlformats.org/officeDocument/2006/relationships/hyperlink" Target="http://abolition-ms.org/actualites/observations-ecrites-presentees-par-%20la-ciams-a-la-cedh-janvier-2019%20/" TargetMode="External"/><Relationship Id="rId18" Type="http://schemas.openxmlformats.org/officeDocument/2006/relationships/hyperlink" Target="http://abolition-ms.org/nos-actions-fr/requete-adressee-aux-partis-candidats-aux-elections-europeennes-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facebook.com/watch/live/?v=301869897405696&amp;ref=watch_permalink" TargetMode="External"/><Relationship Id="rId12" Type="http://schemas.openxmlformats.org/officeDocument/2006/relationships/hyperlink" Target="https://chicagounbound.uchicago.edu/cgi/viewcontent.cgi?article=1009&amp;context=ihrc" TargetMode="External"/><Relationship Id="rId17" Type="http://schemas.openxmlformats.org/officeDocument/2006/relationships/hyperlink" Target="http://www.nogpa.org/" TargetMode="External"/><Relationship Id="rId2" Type="http://schemas.openxmlformats.org/officeDocument/2006/relationships/numbering" Target="numbering.xml"/><Relationship Id="rId16" Type="http://schemas.openxmlformats.org/officeDocument/2006/relationships/hyperlink" Target="https://collectif-corp.com/2019/08/24/communique-de-presse-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abolition-ms.org/tribunes-fr/des-voix-lgbti-selevent-pour-sopposer-au-recours-a-la-maternite-de-substitution-gpa/" TargetMode="External"/><Relationship Id="rId5" Type="http://schemas.openxmlformats.org/officeDocument/2006/relationships/webSettings" Target="webSettings.xml"/><Relationship Id="rId15" Type="http://schemas.openxmlformats.org/officeDocument/2006/relationships/hyperlink" Target="http://abolition-ms.org/non-classe-fr/cp-avis-consultatif-de-la-cedh-sur-la-filiation-des-enfants-nes-par-gpa-a-letranger/" TargetMode="External"/><Relationship Id="rId10" Type="http://schemas.openxmlformats.org/officeDocument/2006/relationships/hyperlink" Target="http://abolition-ms.org/actualites/pour-une-journee-des-fiertes-lgbti-sans-exploitationen-2019/" TargetMode="External"/><Relationship Id="rId19" Type="http://schemas.openxmlformats.org/officeDocument/2006/relationships/hyperlink" Target="http://abolition-ms.org/actualites/pour-eradiquer-les-violences-contre-les-femmes-il-faut-abolir-le-systeme-patriarcal/" TargetMode="External"/><Relationship Id="rId4" Type="http://schemas.openxmlformats.org/officeDocument/2006/relationships/settings" Target="settings.xml"/><Relationship Id="rId9" Type="http://schemas.openxmlformats.org/officeDocument/2006/relationships/hyperlink" Target="https://stopvientresdealquiler.wordpress.com/2019/07/08/92-organizaciones-y-mas-de-920-personas-se-adhieren-al-manifiesto-por-un-orgullo-sn-opresion-y-por-familiaslibresdeexplotacionreproductiva/" TargetMode="External"/><Relationship Id="rId14" Type="http://schemas.openxmlformats.org/officeDocument/2006/relationships/hyperlink" Target="https://www.bionews.org.uk/page_1428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4518-CB42-435D-99D8-ACB34E10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3074</Words>
  <Characters>16907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2</cp:revision>
  <cp:lastPrinted>2020-05-22T09:55:00Z</cp:lastPrinted>
  <dcterms:created xsi:type="dcterms:W3CDTF">2022-02-13T15:18:00Z</dcterms:created>
  <dcterms:modified xsi:type="dcterms:W3CDTF">2022-02-13T15:18:00Z</dcterms:modified>
</cp:coreProperties>
</file>